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9E" w:rsidRDefault="0048249E" w:rsidP="0048249E">
      <w:pPr>
        <w:rPr>
          <w:sz w:val="24"/>
          <w:szCs w:val="24"/>
        </w:rPr>
      </w:pPr>
      <w:r>
        <w:rPr>
          <w:rFonts w:ascii="宋体" w:hAnsi="宋体" w:cs="宋体" w:hint="eastAsia"/>
          <w:bCs/>
          <w:iCs/>
          <w:sz w:val="24"/>
          <w:szCs w:val="24"/>
          <w:highlight w:val="white"/>
        </w:rPr>
        <w:t>附件一</w:t>
      </w:r>
    </w:p>
    <w:tbl>
      <w:tblPr>
        <w:tblStyle w:val="a3"/>
        <w:tblpPr w:leftFromText="180" w:rightFromText="180" w:vertAnchor="text" w:horzAnchor="page" w:tblpX="1517" w:tblpY="543"/>
        <w:tblOverlap w:val="never"/>
        <w:tblW w:w="10035" w:type="dxa"/>
        <w:tblInd w:w="0" w:type="dxa"/>
        <w:tblLook w:val="04A0" w:firstRow="1" w:lastRow="0" w:firstColumn="1" w:lastColumn="0" w:noHBand="0" w:noVBand="1"/>
      </w:tblPr>
      <w:tblGrid>
        <w:gridCol w:w="1534"/>
        <w:gridCol w:w="1361"/>
        <w:gridCol w:w="2145"/>
        <w:gridCol w:w="2400"/>
        <w:gridCol w:w="2595"/>
      </w:tblGrid>
      <w:tr w:rsidR="0048249E" w:rsidTr="00636A6D">
        <w:trPr>
          <w:trHeight w:val="42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pStyle w:val="4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</w:p>
        </w:tc>
      </w:tr>
      <w:tr w:rsidR="0048249E" w:rsidTr="0048249E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</w:p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竞价价格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小写（元）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大写（元）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</w:p>
        </w:tc>
      </w:tr>
      <w:tr w:rsidR="0048249E" w:rsidTr="0048249E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9E" w:rsidRDefault="0048249E">
            <w:pPr>
              <w:widowControl/>
              <w:jc w:val="left"/>
              <w:rPr>
                <w:rFonts w:asciiTheme="majorHAnsi" w:eastAsiaTheme="majorEastAsia" w:hAnsiTheme="majorHAnsi" w:cstheme="majorBid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pStyle w:val="4"/>
              <w:spacing w:line="360" w:lineRule="exact"/>
              <w:outlineLvl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构成说明：所报价格含人工费、机械费、运输费、保险费、吊装费等费用的综合总价，包括不限于竞价标的本身的价值和处置标的</w:t>
            </w:r>
            <w:proofErr w:type="gramStart"/>
            <w:r>
              <w:rPr>
                <w:rFonts w:hint="eastAsia"/>
                <w:sz w:val="24"/>
                <w:szCs w:val="24"/>
              </w:rPr>
              <w:t>物施工</w:t>
            </w:r>
            <w:proofErr w:type="gramEnd"/>
            <w:r>
              <w:rPr>
                <w:rFonts w:hint="eastAsia"/>
                <w:sz w:val="24"/>
                <w:szCs w:val="24"/>
              </w:rPr>
              <w:t>的费用。回收单位不再另外收取任何费用。小写与大写金额必须保持一致。</w:t>
            </w:r>
          </w:p>
        </w:tc>
      </w:tr>
      <w:tr w:rsidR="0048249E" w:rsidTr="0048249E">
        <w:trPr>
          <w:trHeight w:val="123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ind w:left="210"/>
              <w:rPr>
                <w:sz w:val="21"/>
                <w:szCs w:val="22"/>
              </w:rPr>
            </w:pPr>
            <w:r>
              <w:rPr>
                <w:rFonts w:hint="eastAsia"/>
              </w:rPr>
              <w:t>服务承诺</w:t>
            </w:r>
          </w:p>
        </w:tc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ind w:left="210"/>
            </w:pPr>
            <w:r>
              <w:rPr>
                <w:rFonts w:hint="eastAsia"/>
              </w:rPr>
              <w:t>是否响应《第七条</w:t>
            </w:r>
            <w:r>
              <w:t xml:space="preserve"> </w:t>
            </w:r>
            <w:r>
              <w:rPr>
                <w:rFonts w:hint="eastAsia"/>
              </w:rPr>
              <w:t>服务要求》</w:t>
            </w:r>
            <w:bookmarkStart w:id="0" w:name="_GoBack"/>
            <w:bookmarkEnd w:id="0"/>
            <w:r>
              <w:rPr>
                <w:rFonts w:hint="eastAsia"/>
              </w:rPr>
              <w:t>，如响应，请填写“全部响应”，如不响应，请列明原因。</w:t>
            </w:r>
          </w:p>
        </w:tc>
      </w:tr>
      <w:tr w:rsidR="0048249E" w:rsidTr="0048249E">
        <w:trPr>
          <w:trHeight w:val="1815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Default="0048249E">
            <w:pPr>
              <w:ind w:left="210" w:firstLineChars="2000" w:firstLine="4000"/>
            </w:pPr>
            <w:r>
              <w:rPr>
                <w:rFonts w:hint="eastAsia"/>
              </w:rPr>
              <w:t>竞价须知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以下情况被视为废标：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）竞价文件送达时间已超过竞价公告规定竞价截止时</w:t>
            </w:r>
            <w:proofErr w:type="gramStart"/>
            <w:r>
              <w:rPr>
                <w:rFonts w:hint="eastAsia"/>
              </w:rPr>
              <w:t>间或未</w:t>
            </w:r>
            <w:proofErr w:type="gramEnd"/>
            <w:r>
              <w:rPr>
                <w:rFonts w:hint="eastAsia"/>
              </w:rPr>
              <w:t>按照竞价文件要求投递的；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）竞价文件未按要求装订、密封，或将内容已在开标前主动透露给其他人的；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）竞价文件未经客户单位盖章和单位负责人签字的；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）未按规定格式填写的，内容不全或关键字迹模糊、无法辨认，影响实质性评判；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）有资格审查项目，竞价文件中未提供真实有效的证明文件或未提供</w:t>
            </w:r>
            <w:proofErr w:type="gramStart"/>
            <w:r>
              <w:rPr>
                <w:rFonts w:hint="eastAsia"/>
              </w:rPr>
              <w:t>全资格</w:t>
            </w:r>
            <w:proofErr w:type="gramEnd"/>
            <w:r>
              <w:rPr>
                <w:rFonts w:hint="eastAsia"/>
              </w:rPr>
              <w:t>证明文件的；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）提交两个合伙两个以上竞价报价的；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）与其他回收单位相互串通报价，或者与资产所在单位及我方相关工作人员串通竞价的；</w:t>
            </w:r>
          </w:p>
          <w:p w:rsidR="0048249E" w:rsidRDefault="0048249E">
            <w:pPr>
              <w:ind w:left="210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）出现影响资产处置公正的违法、违规行为的。</w:t>
            </w:r>
          </w:p>
        </w:tc>
      </w:tr>
    </w:tbl>
    <w:p w:rsidR="0048249E" w:rsidRDefault="0048249E" w:rsidP="0048249E">
      <w:pPr>
        <w:spacing w:line="360" w:lineRule="exact"/>
        <w:ind w:firstLineChars="1000" w:firstLine="2800"/>
        <w:rPr>
          <w:rFonts w:ascii="宋体" w:hAnsi="宋体" w:cs="宋体"/>
          <w:bCs/>
          <w:iCs/>
          <w:sz w:val="28"/>
          <w:szCs w:val="28"/>
          <w:highlight w:val="white"/>
        </w:rPr>
      </w:pPr>
      <w:r>
        <w:rPr>
          <w:rFonts w:ascii="宋体" w:hAnsi="宋体" w:cs="宋体" w:hint="eastAsia"/>
          <w:bCs/>
          <w:iCs/>
          <w:sz w:val="28"/>
          <w:szCs w:val="28"/>
          <w:highlight w:val="white"/>
        </w:rPr>
        <w:t>报废物资竞价处置报价表</w:t>
      </w:r>
    </w:p>
    <w:p w:rsidR="0048249E" w:rsidRDefault="0048249E" w:rsidP="0048249E">
      <w:pPr>
        <w:pStyle w:val="4"/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回收单位名称（盖章）：</w:t>
      </w:r>
    </w:p>
    <w:p w:rsidR="0048249E" w:rsidRDefault="0048249E" w:rsidP="0048249E">
      <w:pPr>
        <w:pStyle w:val="4"/>
        <w:spacing w:line="360" w:lineRule="exact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法定代表人或法定授权人签字：</w:t>
      </w:r>
    </w:p>
    <w:p w:rsidR="0048249E" w:rsidRDefault="0048249E" w:rsidP="0048249E">
      <w:pPr>
        <w:pStyle w:val="4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</w:p>
    <w:p w:rsidR="00782215" w:rsidRDefault="00782215"/>
    <w:sectPr w:rsidR="0078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9E"/>
    <w:rsid w:val="0048249E"/>
    <w:rsid w:val="007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C558"/>
  <w15:chartTrackingRefBased/>
  <w15:docId w15:val="{CB3C71BA-8FF9-4BF2-9132-0C068828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48249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9E"/>
    <w:pPr>
      <w:keepNext/>
      <w:keepLines/>
      <w:spacing w:before="280" w:after="290" w:line="374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qFormat/>
    <w:rsid w:val="0048249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qFormat/>
    <w:rsid w:val="0048249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2021-09-03T01:56:00Z</dcterms:created>
  <dcterms:modified xsi:type="dcterms:W3CDTF">2021-09-03T01:57:00Z</dcterms:modified>
</cp:coreProperties>
</file>