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谈判</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880" w:firstLineChars="2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22</w:t>
      </w:r>
      <w:r>
        <w:rPr>
          <w:rFonts w:hint="eastAsia" w:ascii="黑体" w:hAnsi="宋体" w:eastAsia="黑体"/>
          <w:color w:val="000000"/>
          <w:sz w:val="44"/>
        </w:rPr>
        <w:t>-</w:t>
      </w:r>
      <w:r>
        <w:rPr>
          <w:rFonts w:hint="eastAsia" w:ascii="黑体" w:hAnsi="宋体" w:eastAsia="黑体"/>
          <w:color w:val="000000"/>
          <w:sz w:val="44"/>
          <w:lang w:val="en-US" w:eastAsia="zh-CN"/>
        </w:rPr>
        <w:t>Z015</w:t>
      </w:r>
    </w:p>
    <w:p>
      <w:pPr>
        <w:tabs>
          <w:tab w:val="left" w:pos="1560"/>
          <w:tab w:val="left" w:pos="3261"/>
        </w:tabs>
        <w:spacing w:line="700" w:lineRule="exact"/>
        <w:ind w:right="880" w:firstLine="880" w:firstLineChars="200"/>
        <w:rPr>
          <w:rFonts w:hint="eastAsia" w:ascii="黑体" w:hAnsi="宋体" w:eastAsia="黑体"/>
          <w:b/>
          <w:color w:val="000000"/>
          <w:sz w:val="44"/>
          <w:szCs w:val="44"/>
          <w:lang w:eastAsia="zh-CN"/>
        </w:rPr>
      </w:pPr>
      <w:r>
        <w:rPr>
          <w:rFonts w:hint="eastAsia" w:ascii="黑体" w:hAnsi="宋体" w:eastAsia="黑体"/>
          <w:color w:val="000000"/>
          <w:sz w:val="44"/>
        </w:rPr>
        <w:t>项目名称：</w:t>
      </w:r>
      <w:r>
        <w:rPr>
          <w:rFonts w:hint="eastAsia" w:ascii="黑体" w:hAnsi="宋体" w:eastAsia="黑体"/>
          <w:color w:val="000000"/>
          <w:sz w:val="44"/>
          <w:lang w:val="en-US" w:eastAsia="zh-CN"/>
        </w:rPr>
        <w:t>环保自行监测项目</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both"/>
        <w:rPr>
          <w:rFonts w:hint="eastAsia"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23</w:t>
      </w:r>
      <w:r>
        <w:rPr>
          <w:rFonts w:hint="eastAsia" w:ascii="黑体" w:hAnsi="宋体" w:eastAsia="黑体"/>
          <w:color w:val="000000"/>
          <w:sz w:val="44"/>
        </w:rPr>
        <w:t>年</w:t>
      </w:r>
      <w:r>
        <w:rPr>
          <w:rFonts w:hint="eastAsia" w:ascii="黑体" w:hAnsi="宋体" w:eastAsia="黑体"/>
          <w:color w:val="000000"/>
          <w:sz w:val="44"/>
          <w:lang w:val="en-US" w:eastAsia="zh-CN"/>
        </w:rPr>
        <w:t>1</w:t>
      </w:r>
      <w:r>
        <w:rPr>
          <w:rFonts w:hint="eastAsia" w:ascii="黑体" w:hAnsi="宋体" w:eastAsia="黑体"/>
          <w:color w:val="000000"/>
          <w:sz w:val="44"/>
        </w:rPr>
        <w:t>月</w:t>
      </w:r>
      <w:r>
        <w:rPr>
          <w:rFonts w:hint="eastAsia" w:ascii="黑体" w:hAnsi="宋体" w:eastAsia="黑体"/>
          <w:color w:val="000000"/>
          <w:sz w:val="44"/>
          <w:lang w:val="en-US" w:eastAsia="zh-CN"/>
        </w:rPr>
        <w:t>5</w:t>
      </w:r>
      <w:bookmarkStart w:id="22" w:name="_GoBack"/>
      <w:bookmarkEnd w:id="22"/>
      <w:r>
        <w:rPr>
          <w:rFonts w:hint="eastAsia" w:ascii="黑体" w:hAnsi="宋体" w:eastAsia="黑体"/>
          <w:color w:val="000000"/>
          <w:sz w:val="44"/>
        </w:rPr>
        <w:t>日</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40" w:lineRule="exact"/>
        <w:rPr>
          <w:rFonts w:hint="default" w:ascii="宋体" w:hAnsi="宋体" w:cs="宋体"/>
          <w:sz w:val="28"/>
          <w:szCs w:val="28"/>
          <w:highlight w:val="white"/>
          <w:lang w:val="en-US"/>
        </w:rPr>
      </w:pPr>
      <w:r>
        <w:rPr>
          <w:rFonts w:hint="eastAsia" w:ascii="黑体" w:eastAsia="黑体"/>
          <w:sz w:val="32"/>
          <w:szCs w:val="32"/>
          <w:lang w:val="en-US" w:eastAsia="zh-CN"/>
        </w:rPr>
        <w:t xml:space="preserve">     </w:t>
      </w:r>
      <w:r>
        <w:rPr>
          <w:rFonts w:hint="eastAsia" w:ascii="黑体" w:hAnsi="宋体" w:eastAsia="黑体"/>
          <w:spacing w:val="-10"/>
          <w:sz w:val="28"/>
          <w:szCs w:val="28"/>
          <w:lang w:val="en-US" w:eastAsia="zh-CN"/>
        </w:rPr>
        <w:t xml:space="preserve">            第一章   竞争性谈判邀请</w:t>
      </w:r>
    </w:p>
    <w:p>
      <w:pPr>
        <w:pageBreakBefore w:val="0"/>
        <w:kinsoku/>
        <w:wordWrap/>
        <w:overflowPunct/>
        <w:topLinePunct w:val="0"/>
        <w:bidi w:val="0"/>
        <w:snapToGrid/>
        <w:spacing w:line="360" w:lineRule="exact"/>
        <w:rPr>
          <w:rFonts w:hint="eastAsia" w:asciiTheme="minorEastAsia" w:hAnsiTheme="minorEastAsia" w:eastAsiaTheme="minorEastAsia" w:cstheme="minorEastAsia"/>
          <w:sz w:val="24"/>
          <w:szCs w:val="24"/>
          <w:highlight w:val="white"/>
        </w:rPr>
      </w:pPr>
      <w:r>
        <w:rPr>
          <w:rFonts w:hint="eastAsia" w:asciiTheme="minorEastAsia" w:hAnsiTheme="minorEastAsia" w:eastAsiaTheme="minorEastAsia" w:cstheme="minorEastAsia"/>
          <w:sz w:val="24"/>
          <w:szCs w:val="24"/>
          <w:highlight w:val="white"/>
        </w:rPr>
        <w:t>各供应商：</w:t>
      </w:r>
    </w:p>
    <w:p>
      <w:pPr>
        <w:pageBreakBefore w:val="0"/>
        <w:kinsoku/>
        <w:wordWrap/>
        <w:overflowPunct/>
        <w:topLinePunct w:val="0"/>
        <w:bidi w:val="0"/>
        <w:snapToGrid/>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hint="eastAsia" w:asciiTheme="minorEastAsia" w:hAnsiTheme="minorEastAsia" w:eastAsiaTheme="minorEastAsia" w:cstheme="minorEastAsia"/>
          <w:color w:val="000000"/>
          <w:sz w:val="24"/>
          <w:szCs w:val="24"/>
          <w:highlight w:val="white"/>
          <w:lang w:eastAsia="zh-CN"/>
        </w:rPr>
        <w:t>环保自行监测</w:t>
      </w:r>
      <w:r>
        <w:rPr>
          <w:rFonts w:hint="eastAsia" w:asciiTheme="minorEastAsia" w:hAnsiTheme="minorEastAsia" w:eastAsiaTheme="minorEastAsia" w:cstheme="minorEastAsia"/>
          <w:color w:val="000000"/>
          <w:sz w:val="24"/>
          <w:szCs w:val="24"/>
          <w:highlight w:val="white"/>
        </w:rPr>
        <w:t>服务项目进行</w:t>
      </w:r>
      <w:r>
        <w:rPr>
          <w:rFonts w:hint="eastAsia" w:asciiTheme="minorEastAsia" w:hAnsiTheme="minorEastAsia" w:eastAsiaTheme="minorEastAsia" w:cstheme="minorEastAsia"/>
          <w:color w:val="000000"/>
          <w:sz w:val="24"/>
          <w:szCs w:val="24"/>
          <w:highlight w:val="white"/>
          <w:lang w:eastAsia="zh-CN"/>
        </w:rPr>
        <w:t>竞争性谈判</w:t>
      </w:r>
      <w:r>
        <w:rPr>
          <w:rFonts w:hint="eastAsia" w:asciiTheme="minorEastAsia" w:hAnsiTheme="minorEastAsia" w:eastAsiaTheme="minorEastAsia" w:cstheme="minorEastAsia"/>
          <w:color w:val="000000"/>
          <w:sz w:val="24"/>
          <w:szCs w:val="24"/>
          <w:highlight w:val="white"/>
        </w:rPr>
        <w:t>采购事宜，</w:t>
      </w:r>
      <w:r>
        <w:rPr>
          <w:rFonts w:hint="eastAsia" w:asciiTheme="minorEastAsia" w:hAnsiTheme="minorEastAsia" w:eastAsiaTheme="minorEastAsia" w:cstheme="minorEastAsia"/>
          <w:color w:val="000000"/>
          <w:sz w:val="24"/>
          <w:szCs w:val="24"/>
        </w:rPr>
        <w:t>相关采购事宜如下：</w:t>
      </w:r>
    </w:p>
    <w:p>
      <w:pPr>
        <w:pageBreakBefore w:val="0"/>
        <w:kinsoku/>
        <w:wordWrap/>
        <w:overflowPunct/>
        <w:topLinePunct w:val="0"/>
        <w:bidi w:val="0"/>
        <w:snapToGrid/>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highlight w:val="white"/>
        </w:rPr>
        <w:t>一、项目名称及编号</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环保自行监测项目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编号：LSRY-ZB20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Z015</w:t>
      </w:r>
      <w:r>
        <w:rPr>
          <w:rFonts w:hint="eastAsia" w:asciiTheme="minorEastAsia" w:hAnsiTheme="minorEastAsia" w:eastAsiaTheme="minorEastAsia" w:cstheme="minorEastAsia"/>
          <w:sz w:val="24"/>
          <w:szCs w:val="24"/>
        </w:rPr>
        <w:t xml:space="preserve">） </w:t>
      </w:r>
    </w:p>
    <w:p>
      <w:pPr>
        <w:pageBreakBefore w:val="0"/>
        <w:kinsoku/>
        <w:wordWrap/>
        <w:overflowPunct/>
        <w:topLinePunct w:val="0"/>
        <w:bidi w:val="0"/>
        <w:snapToGrid/>
        <w:spacing w:line="360" w:lineRule="exact"/>
        <w:rPr>
          <w:rFonts w:hint="eastAsia"/>
        </w:rPr>
      </w:pPr>
      <w:r>
        <w:rPr>
          <w:rFonts w:hint="eastAsia" w:asciiTheme="minorEastAsia" w:hAnsiTheme="minorEastAsia" w:eastAsiaTheme="minorEastAsia" w:cstheme="minorEastAsia"/>
          <w:b/>
          <w:sz w:val="24"/>
          <w:szCs w:val="24"/>
        </w:rPr>
        <w:t>二、</w:t>
      </w:r>
      <w:r>
        <w:rPr>
          <w:rFonts w:hint="eastAsia" w:asciiTheme="minorEastAsia" w:hAnsiTheme="minorEastAsia" w:eastAsiaTheme="minorEastAsia" w:cstheme="minorEastAsia"/>
          <w:b/>
          <w:sz w:val="24"/>
          <w:szCs w:val="24"/>
          <w:lang w:eastAsia="zh-CN"/>
        </w:rPr>
        <w:t>谈判</w:t>
      </w:r>
      <w:r>
        <w:rPr>
          <w:rFonts w:hint="eastAsia" w:asciiTheme="minorEastAsia" w:hAnsiTheme="minorEastAsia" w:eastAsiaTheme="minorEastAsia" w:cstheme="minorEastAsia"/>
          <w:b/>
          <w:sz w:val="24"/>
          <w:szCs w:val="24"/>
        </w:rPr>
        <w:t>方式：</w:t>
      </w:r>
      <w:r>
        <w:rPr>
          <w:rFonts w:hint="eastAsia" w:asciiTheme="minorEastAsia" w:hAnsiTheme="minorEastAsia" w:eastAsiaTheme="minorEastAsia" w:cstheme="minorEastAsia"/>
          <w:b/>
          <w:sz w:val="24"/>
          <w:szCs w:val="24"/>
          <w:lang w:eastAsia="zh-CN"/>
        </w:rPr>
        <w:t>最低价评标法，有二轮报价。</w:t>
      </w:r>
      <w:r>
        <w:rPr>
          <w:rFonts w:hint="eastAsia" w:asciiTheme="minorEastAsia" w:hAnsiTheme="minorEastAsia" w:eastAsiaTheme="minorEastAsia" w:cstheme="minorEastAsia"/>
          <w:sz w:val="24"/>
          <w:szCs w:val="24"/>
        </w:rPr>
        <w:t>（如最低价提供</w:t>
      </w:r>
      <w:r>
        <w:rPr>
          <w:rFonts w:hint="eastAsia" w:asciiTheme="minorEastAsia" w:hAnsiTheme="minorEastAsia" w:eastAsiaTheme="minorEastAsia" w:cstheme="minorEastAsia"/>
          <w:sz w:val="24"/>
          <w:szCs w:val="24"/>
          <w:lang w:eastAsia="zh-CN"/>
        </w:rPr>
        <w:t>文件不齐全、</w:t>
      </w:r>
      <w:r>
        <w:rPr>
          <w:rFonts w:hint="eastAsia" w:asciiTheme="minorEastAsia" w:hAnsiTheme="minorEastAsia" w:eastAsiaTheme="minorEastAsia" w:cstheme="minorEastAsia"/>
          <w:sz w:val="24"/>
          <w:szCs w:val="24"/>
        </w:rPr>
        <w:t>资质不达标、服务承诺等不满足我院要求，则对第二低价进行考量，以此类推，评出最后中标商）</w:t>
      </w:r>
    </w:p>
    <w:p>
      <w:pPr>
        <w:pageBreakBefore w:val="0"/>
        <w:kinsoku/>
        <w:wordWrap/>
        <w:overflowPunct/>
        <w:topLinePunct w:val="0"/>
        <w:bidi w:val="0"/>
        <w:snapToGrid/>
        <w:spacing w:line="360" w:lineRule="exac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、采购预算（超预算即废标）</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i w:val="0"/>
          <w:iCs w:val="0"/>
          <w:sz w:val="24"/>
          <w:szCs w:val="24"/>
          <w:u w:val="single"/>
          <w:lang w:val="en-US" w:eastAsia="zh-CN"/>
        </w:rPr>
        <w:t>5万元/年</w:t>
      </w:r>
    </w:p>
    <w:p>
      <w:pPr>
        <w:pageBreakBefore w:val="0"/>
        <w:kinsoku/>
        <w:wordWrap/>
        <w:overflowPunct/>
        <w:topLinePunct w:val="0"/>
        <w:bidi w:val="0"/>
        <w:snapToGrid/>
        <w:spacing w:line="360" w:lineRule="exact"/>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四、服务期限：两年</w:t>
      </w:r>
    </w:p>
    <w:p>
      <w:pPr>
        <w:pageBreakBefore w:val="0"/>
        <w:kinsoku/>
        <w:wordWrap/>
        <w:overflowPunct/>
        <w:topLinePunct w:val="0"/>
        <w:bidi w:val="0"/>
        <w:snapToGrid/>
        <w:spacing w:line="3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五</w:t>
      </w:r>
      <w:r>
        <w:rPr>
          <w:rFonts w:hint="eastAsia" w:asciiTheme="minorEastAsia" w:hAnsiTheme="minorEastAsia" w:eastAsiaTheme="minorEastAsia" w:cstheme="minorEastAsia"/>
          <w:b/>
          <w:sz w:val="24"/>
          <w:szCs w:val="24"/>
        </w:rPr>
        <w:t>、供应商资质要求：</w:t>
      </w:r>
    </w:p>
    <w:p>
      <w:pPr>
        <w:pageBreakBefore w:val="0"/>
        <w:widowControl/>
        <w:wordWrap/>
        <w:overflowPunct/>
        <w:topLinePunct w:val="0"/>
        <w:bidi w:val="0"/>
        <w:adjustRightInd w:val="0"/>
        <w:snapToGrid w:val="0"/>
        <w:spacing w:line="360" w:lineRule="exact"/>
        <w:jc w:val="left"/>
        <w:rPr>
          <w:rFonts w:ascii="宋体" w:hAnsi="宋体" w:cs="宋体"/>
          <w:sz w:val="24"/>
        </w:rPr>
      </w:pPr>
      <w:r>
        <w:rPr>
          <w:rFonts w:hint="eastAsia" w:ascii="宋体" w:hAnsi="宋体" w:cs="宋体"/>
          <w:sz w:val="24"/>
        </w:rPr>
        <w:t>（1）具有独立承担民事责任的能力（</w:t>
      </w:r>
      <w:r>
        <w:rPr>
          <w:rFonts w:hint="eastAsia" w:ascii="宋体" w:hAnsi="宋体" w:cs="宋体"/>
          <w:sz w:val="24"/>
          <w:lang w:val="zh-CN"/>
        </w:rPr>
        <w:t>提供法人或者其他组织的营业执照和自然人的身份证明）</w:t>
      </w:r>
      <w:r>
        <w:rPr>
          <w:rFonts w:hint="eastAsia" w:ascii="宋体" w:hAnsi="宋体" w:cs="宋体"/>
          <w:sz w:val="24"/>
        </w:rPr>
        <w:t>；</w:t>
      </w:r>
    </w:p>
    <w:p>
      <w:pPr>
        <w:pageBreakBefore w:val="0"/>
        <w:widowControl/>
        <w:wordWrap/>
        <w:overflowPunct/>
        <w:topLinePunct w:val="0"/>
        <w:bidi w:val="0"/>
        <w:adjustRightInd w:val="0"/>
        <w:snapToGrid w:val="0"/>
        <w:spacing w:line="360" w:lineRule="exact"/>
        <w:jc w:val="left"/>
        <w:rPr>
          <w:rFonts w:ascii="宋体" w:hAnsi="宋体" w:cs="宋体"/>
          <w:sz w:val="24"/>
        </w:rPr>
      </w:pPr>
      <w:r>
        <w:rPr>
          <w:rFonts w:hint="eastAsia" w:ascii="宋体" w:hAnsi="宋体" w:cs="宋体"/>
          <w:sz w:val="24"/>
        </w:rPr>
        <w:t>（2）具有良好的商业信誉和健全的财务会计制度（提供参加本次政府采购活动前一年（至少一个月）的</w:t>
      </w:r>
      <w:r>
        <w:rPr>
          <w:rFonts w:hint="eastAsia" w:ascii="宋体" w:hAnsi="宋体" w:cs="宋体"/>
          <w:sz w:val="24"/>
          <w:lang w:val="zh-CN"/>
        </w:rPr>
        <w:t>会计报表</w:t>
      </w:r>
      <w:r>
        <w:rPr>
          <w:rFonts w:hint="eastAsia" w:ascii="宋体" w:hAnsi="宋体" w:cs="宋体"/>
          <w:sz w:val="24"/>
        </w:rPr>
        <w:t>）；</w:t>
      </w:r>
    </w:p>
    <w:p>
      <w:pPr>
        <w:pageBreakBefore w:val="0"/>
        <w:widowControl/>
        <w:wordWrap/>
        <w:overflowPunct/>
        <w:topLinePunct w:val="0"/>
        <w:bidi w:val="0"/>
        <w:adjustRightInd w:val="0"/>
        <w:snapToGrid w:val="0"/>
        <w:spacing w:line="360" w:lineRule="exact"/>
        <w:jc w:val="left"/>
        <w:rPr>
          <w:rFonts w:ascii="宋体" w:hAnsi="宋体" w:cs="宋体"/>
          <w:sz w:val="24"/>
        </w:rPr>
      </w:pPr>
      <w:r>
        <w:rPr>
          <w:rFonts w:hint="eastAsia" w:ascii="宋体" w:hAnsi="宋体" w:cs="宋体"/>
          <w:sz w:val="24"/>
        </w:rPr>
        <w:t>（3）具有履行合同所必需的设备和专业技术能力（根据项目需求提供相应的专业设备说明、技术管理人员情况说明、专业技术资质等）；</w:t>
      </w:r>
    </w:p>
    <w:p>
      <w:pPr>
        <w:pageBreakBefore w:val="0"/>
        <w:widowControl/>
        <w:wordWrap/>
        <w:overflowPunct/>
        <w:topLinePunct w:val="0"/>
        <w:bidi w:val="0"/>
        <w:adjustRightInd w:val="0"/>
        <w:snapToGrid w:val="0"/>
        <w:spacing w:line="360" w:lineRule="exact"/>
        <w:jc w:val="left"/>
        <w:rPr>
          <w:rFonts w:ascii="宋体" w:hAnsi="宋体" w:cs="宋体"/>
          <w:sz w:val="24"/>
        </w:rPr>
      </w:pPr>
      <w:r>
        <w:rPr>
          <w:rFonts w:hint="eastAsia" w:ascii="宋体" w:hAnsi="宋体" w:cs="宋体"/>
          <w:sz w:val="24"/>
        </w:rPr>
        <w:t>（4）有依法缴纳税收和社会保障资金的良好记录（提供参加本次政府采购活动前一年内（至少一个月）依法缴纳税收和社会保障资金的相关材料）；</w:t>
      </w:r>
    </w:p>
    <w:p>
      <w:pPr>
        <w:pageBreakBefore w:val="0"/>
        <w:widowControl/>
        <w:wordWrap/>
        <w:overflowPunct/>
        <w:topLinePunct w:val="0"/>
        <w:bidi w:val="0"/>
        <w:adjustRightInd w:val="0"/>
        <w:snapToGrid w:val="0"/>
        <w:spacing w:line="360" w:lineRule="exact"/>
        <w:jc w:val="left"/>
        <w:rPr>
          <w:rFonts w:ascii="宋体" w:hAnsi="宋体" w:cs="宋体"/>
          <w:sz w:val="24"/>
        </w:rPr>
      </w:pPr>
      <w:r>
        <w:rPr>
          <w:rFonts w:hint="eastAsia" w:ascii="宋体" w:hAnsi="宋体" w:cs="宋体"/>
          <w:sz w:val="24"/>
        </w:rPr>
        <w:t>（5）参加政府采购活动前三年内，在经营活动中没有重大违法记录（提供参加本次政府采购活动前3年内在经营活动中没有重大违法记录的书面声明）；</w:t>
      </w:r>
    </w:p>
    <w:p>
      <w:pPr>
        <w:pageBreakBefore w:val="0"/>
        <w:wordWrap/>
        <w:overflowPunct/>
        <w:topLinePunct w:val="0"/>
        <w:autoSpaceDE w:val="0"/>
        <w:autoSpaceDN w:val="0"/>
        <w:bidi w:val="0"/>
        <w:adjustRightInd w:val="0"/>
        <w:snapToGrid w:val="0"/>
        <w:spacing w:line="360" w:lineRule="exact"/>
        <w:rPr>
          <w:rFonts w:hint="eastAsia" w:ascii="宋体" w:hAnsi="宋体" w:cs="宋体"/>
          <w:sz w:val="24"/>
        </w:rPr>
      </w:pPr>
      <w:r>
        <w:rPr>
          <w:rFonts w:hint="eastAsia" w:ascii="宋体" w:hAnsi="宋体" w:cs="宋体"/>
          <w:sz w:val="24"/>
        </w:rPr>
        <w:t>（6）法律、行政法规规定的其他条件（提供项目实施所必须的许可资质证明材料）</w:t>
      </w:r>
    </w:p>
    <w:p>
      <w:pPr>
        <w:pageBreakBefore w:val="0"/>
        <w:widowControl/>
        <w:wordWrap/>
        <w:overflowPunct/>
        <w:topLinePunct w:val="0"/>
        <w:bidi w:val="0"/>
        <w:adjustRightInd w:val="0"/>
        <w:snapToGrid w:val="0"/>
        <w:spacing w:line="360" w:lineRule="exact"/>
        <w:jc w:val="left"/>
        <w:rPr>
          <w:rFonts w:hint="eastAsia" w:ascii="宋体" w:hAnsi="宋体" w:cs="宋体"/>
          <w:b/>
          <w:bCs/>
          <w:sz w:val="24"/>
          <w:u w:val="single"/>
        </w:rPr>
      </w:pPr>
      <w:r>
        <w:rPr>
          <w:rFonts w:hint="eastAsia" w:ascii="宋体" w:hAnsi="宋体" w:cs="宋体"/>
          <w:b/>
          <w:bCs/>
          <w:sz w:val="24"/>
          <w:lang w:eastAsia="zh-CN"/>
        </w:rPr>
        <w:t>采购项目特定的资质要求</w:t>
      </w:r>
      <w:r>
        <w:rPr>
          <w:rFonts w:hint="eastAsia" w:ascii="宋体" w:hAnsi="宋体" w:cs="宋体"/>
          <w:b/>
          <w:bCs/>
          <w:sz w:val="24"/>
          <w:u w:val="single"/>
          <w:lang w:eastAsia="zh-CN"/>
        </w:rPr>
        <w:t>：</w:t>
      </w:r>
      <w:r>
        <w:rPr>
          <w:rFonts w:hint="eastAsia" w:ascii="宋体" w:hAnsi="宋体" w:cs="宋体"/>
          <w:b/>
          <w:bCs/>
          <w:sz w:val="24"/>
          <w:u w:val="single"/>
        </w:rPr>
        <w:t>检测单位需具有国家规定的相关检测资质，营业执照经营范围需有“检验检测服务”，具备“检验检测机构资质认定证书”，需按国家环保部门的要求开展监测服务并出具正规的检测报告，确保报告的时效性及时性。</w:t>
      </w:r>
    </w:p>
    <w:p>
      <w:pPr>
        <w:pageBreakBefore w:val="0"/>
        <w:wordWrap/>
        <w:overflowPunct/>
        <w:topLinePunct w:val="0"/>
        <w:autoSpaceDE w:val="0"/>
        <w:autoSpaceDN w:val="0"/>
        <w:bidi w:val="0"/>
        <w:adjustRightInd w:val="0"/>
        <w:spacing w:line="360" w:lineRule="exact"/>
        <w:rPr>
          <w:rFonts w:cs="宋体" w:asciiTheme="minorEastAsia" w:hAnsiTheme="minorEastAsia" w:eastAsiaTheme="minorEastAsia"/>
          <w:b/>
          <w:bCs/>
          <w:color w:val="000000"/>
          <w:sz w:val="24"/>
          <w:szCs w:val="24"/>
          <w:highlight w:val="none"/>
          <w:lang w:val="zh-CN"/>
        </w:rPr>
      </w:pPr>
      <w:r>
        <w:rPr>
          <w:rFonts w:hint="eastAsia" w:cs="宋体" w:asciiTheme="minorEastAsia" w:hAnsiTheme="minorEastAsia" w:eastAsiaTheme="minorEastAsia"/>
          <w:b/>
          <w:bCs/>
          <w:color w:val="000000"/>
          <w:sz w:val="24"/>
          <w:szCs w:val="24"/>
          <w:highlight w:val="none"/>
          <w:lang w:val="zh-CN"/>
        </w:rPr>
        <w:t>下列供应商不得参加本次采购活动：</w:t>
      </w:r>
    </w:p>
    <w:p>
      <w:pPr>
        <w:pageBreakBefore w:val="0"/>
        <w:wordWrap/>
        <w:overflowPunct/>
        <w:topLinePunct w:val="0"/>
        <w:autoSpaceDE w:val="0"/>
        <w:autoSpaceDN w:val="0"/>
        <w:bidi w:val="0"/>
        <w:adjustRightInd w:val="0"/>
        <w:spacing w:line="36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（1）供应商单位负责人为同一人或者存在直接控股、管理关系的不同供应商，不得参加同一合同项下的政府采购活动。</w:t>
      </w:r>
    </w:p>
    <w:p>
      <w:pPr>
        <w:pageBreakBefore w:val="0"/>
        <w:wordWrap/>
        <w:overflowPunct/>
        <w:topLinePunct w:val="0"/>
        <w:autoSpaceDE w:val="0"/>
        <w:autoSpaceDN w:val="0"/>
        <w:bidi w:val="0"/>
        <w:adjustRightInd w:val="0"/>
        <w:spacing w:line="36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（2）凡为采购项目提供整体设计、规范编制或者项目管理、监理、检测等服务的供应商，不得再参加本项目的采购活动。</w:t>
      </w:r>
    </w:p>
    <w:p>
      <w:pPr>
        <w:pageBreakBefore w:val="0"/>
        <w:wordWrap/>
        <w:overflowPunct/>
        <w:topLinePunct w:val="0"/>
        <w:autoSpaceDE w:val="0"/>
        <w:autoSpaceDN w:val="0"/>
        <w:bidi w:val="0"/>
        <w:adjustRightInd w:val="0"/>
        <w:spacing w:line="36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（3）供应商被“信用中国”网站（www.creditchina.gov.cn）、“中国政府采购网”(www.ccgp.gov.cn)列入失信被执行人、重大税收违法案件当事人名单、政府采购严重违法失信行为记录名单。</w:t>
      </w:r>
    </w:p>
    <w:p>
      <w:pPr>
        <w:pageBreakBefore w:val="0"/>
        <w:wordWrap/>
        <w:overflowPunct/>
        <w:topLinePunct w:val="0"/>
        <w:bidi w:val="0"/>
        <w:spacing w:line="360" w:lineRule="exact"/>
        <w:rPr>
          <w:rFonts w:cs="宋体" w:asciiTheme="minorEastAsia" w:hAnsiTheme="minorEastAsia" w:eastAsiaTheme="minorEastAsia"/>
          <w:b/>
          <w:bCs/>
          <w:color w:val="000000"/>
          <w:sz w:val="24"/>
          <w:szCs w:val="24"/>
          <w:highlight w:val="none"/>
          <w:u w:val="single"/>
        </w:rPr>
      </w:pPr>
      <w:r>
        <w:rPr>
          <w:rFonts w:hint="eastAsia" w:cs="宋体" w:asciiTheme="minorEastAsia" w:hAnsiTheme="minorEastAsia" w:eastAsiaTheme="minorEastAsia"/>
          <w:b/>
          <w:bCs/>
          <w:color w:val="000000"/>
          <w:sz w:val="24"/>
          <w:szCs w:val="24"/>
          <w:highlight w:val="none"/>
          <w:u w:val="single"/>
        </w:rPr>
        <w:t>注：1、文件需有目录及页码，装订成册。</w:t>
      </w:r>
    </w:p>
    <w:p>
      <w:pPr>
        <w:pageBreakBefore w:val="0"/>
        <w:wordWrap/>
        <w:overflowPunct/>
        <w:topLinePunct w:val="0"/>
        <w:bidi w:val="0"/>
        <w:spacing w:line="360" w:lineRule="exact"/>
        <w:ind w:firstLine="602" w:firstLineChars="250"/>
        <w:rPr>
          <w:rFonts w:hint="eastAsia" w:eastAsia="宋体"/>
          <w:lang w:eastAsia="zh-CN"/>
        </w:rPr>
      </w:pPr>
      <w:r>
        <w:rPr>
          <w:rFonts w:hint="eastAsia" w:cs="宋体" w:asciiTheme="minorEastAsia" w:hAnsiTheme="minorEastAsia" w:eastAsiaTheme="minorEastAsia"/>
          <w:b/>
          <w:bCs/>
          <w:color w:val="000000"/>
          <w:sz w:val="24"/>
          <w:szCs w:val="24"/>
          <w:highlight w:val="none"/>
          <w:u w:val="single"/>
        </w:rPr>
        <w:t>2、以上材料均需加盖公章，不盖公章视为无效。</w:t>
      </w:r>
    </w:p>
    <w:p>
      <w:pPr>
        <w:pageBreakBefore w:val="0"/>
        <w:numPr>
          <w:ilvl w:val="0"/>
          <w:numId w:val="0"/>
        </w:numPr>
        <w:kinsoku/>
        <w:wordWrap/>
        <w:overflowPunct/>
        <w:topLinePunct w:val="0"/>
        <w:bidi w:val="0"/>
        <w:snapToGrid/>
        <w:spacing w:line="360" w:lineRule="exact"/>
        <w:rPr>
          <w:rFonts w:hint="eastAsia" w:eastAsia="宋体" w:asciiTheme="minorEastAsia" w:hAnsiTheme="minorEastAsia" w:cstheme="minorEastAsia"/>
          <w:b/>
          <w:bCs w:val="0"/>
          <w:sz w:val="24"/>
          <w:szCs w:val="24"/>
          <w:highlight w:val="white"/>
          <w:u w:val="single"/>
          <w:lang w:eastAsia="zh-CN"/>
        </w:rPr>
      </w:pPr>
      <w:r>
        <w:rPr>
          <w:rFonts w:hint="eastAsia" w:asciiTheme="minorEastAsia" w:hAnsiTheme="minorEastAsia" w:eastAsiaTheme="minorEastAsia" w:cstheme="minorEastAsia"/>
          <w:b/>
          <w:sz w:val="24"/>
          <w:szCs w:val="24"/>
          <w:highlight w:val="white"/>
          <w:lang w:eastAsia="zh-CN"/>
        </w:rPr>
        <w:t>六、谈判文件要求：</w:t>
      </w:r>
      <w:r>
        <w:rPr>
          <w:rFonts w:hint="eastAsia" w:asciiTheme="minorEastAsia" w:hAnsiTheme="minorEastAsia" w:eastAsiaTheme="minorEastAsia" w:cstheme="minorEastAsia"/>
          <w:b/>
          <w:sz w:val="24"/>
          <w:szCs w:val="24"/>
          <w:highlight w:val="white"/>
          <w:u w:val="single"/>
          <w:lang w:eastAsia="zh-CN"/>
        </w:rPr>
        <w:t>目录页、页</w:t>
      </w:r>
      <w:r>
        <w:rPr>
          <w:rFonts w:hint="eastAsia" w:asciiTheme="minorEastAsia" w:hAnsiTheme="minorEastAsia" w:eastAsiaTheme="minorEastAsia" w:cstheme="minorEastAsia"/>
          <w:b/>
          <w:bCs w:val="0"/>
          <w:sz w:val="24"/>
          <w:szCs w:val="24"/>
          <w:highlight w:val="white"/>
          <w:u w:val="single"/>
          <w:lang w:eastAsia="zh-CN"/>
        </w:rPr>
        <w:t>码、</w:t>
      </w:r>
      <w:r>
        <w:rPr>
          <w:rFonts w:hint="eastAsia" w:ascii="宋体" w:hAnsi="宋体" w:eastAsia="宋体" w:cs="宋体"/>
          <w:b/>
          <w:bCs w:val="0"/>
          <w:sz w:val="24"/>
          <w:szCs w:val="24"/>
          <w:u w:val="single"/>
          <w:shd w:val="clear" w:fill="FFFFFF"/>
        </w:rPr>
        <w:t>共二次报价，谈判文件一式三份（一正二副、一次报价单在文件内和信封封存各准备一份便于唱标、二次报价单另外提供盖章版用信封封存提供）</w:t>
      </w:r>
      <w:r>
        <w:rPr>
          <w:rFonts w:hint="eastAsia" w:ascii="宋体" w:hAnsi="宋体" w:eastAsia="宋体" w:cs="宋体"/>
          <w:b/>
          <w:bCs w:val="0"/>
          <w:sz w:val="24"/>
          <w:szCs w:val="24"/>
          <w:u w:val="single"/>
          <w:shd w:val="clear" w:fill="FFFFFF"/>
          <w:lang w:eastAsia="zh-CN"/>
        </w:rPr>
        <w:t>。</w:t>
      </w:r>
    </w:p>
    <w:p>
      <w:pPr>
        <w:pageBreakBefore w:val="0"/>
        <w:numPr>
          <w:ilvl w:val="0"/>
          <w:numId w:val="0"/>
        </w:numPr>
        <w:kinsoku/>
        <w:wordWrap/>
        <w:overflowPunct/>
        <w:topLinePunct w:val="0"/>
        <w:bidi w:val="0"/>
        <w:snapToGrid/>
        <w:spacing w:line="360" w:lineRule="exact"/>
        <w:rPr>
          <w:rFonts w:hint="eastAsia" w:asciiTheme="minorEastAsia" w:hAnsiTheme="minorEastAsia" w:eastAsiaTheme="minorEastAsia" w:cstheme="minorEastAsia"/>
          <w:b/>
          <w:sz w:val="24"/>
          <w:szCs w:val="24"/>
          <w:highlight w:val="white"/>
        </w:rPr>
      </w:pPr>
      <w:r>
        <w:rPr>
          <w:rFonts w:hint="eastAsia" w:asciiTheme="minorEastAsia" w:hAnsiTheme="minorEastAsia" w:eastAsiaTheme="minorEastAsia" w:cstheme="minorEastAsia"/>
          <w:b/>
          <w:sz w:val="24"/>
          <w:szCs w:val="24"/>
          <w:highlight w:val="white"/>
          <w:lang w:eastAsia="zh-CN"/>
        </w:rPr>
        <w:t>七、谈判</w:t>
      </w:r>
      <w:r>
        <w:rPr>
          <w:rFonts w:hint="eastAsia" w:asciiTheme="minorEastAsia" w:hAnsiTheme="minorEastAsia" w:eastAsiaTheme="minorEastAsia" w:cstheme="minorEastAsia"/>
          <w:b/>
          <w:sz w:val="24"/>
          <w:szCs w:val="24"/>
          <w:highlight w:val="white"/>
        </w:rPr>
        <w:t>时间及地点</w:t>
      </w:r>
    </w:p>
    <w:p>
      <w:pPr>
        <w:pageBreakBefore w:val="0"/>
        <w:kinsoku/>
        <w:wordWrap/>
        <w:overflowPunct/>
        <w:topLinePunct w:val="0"/>
        <w:bidi w:val="0"/>
        <w:snapToGrid/>
        <w:spacing w:line="3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时间：202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上</w:t>
      </w:r>
      <w:r>
        <w:rPr>
          <w:rFonts w:hint="eastAsia" w:asciiTheme="minorEastAsia" w:hAnsiTheme="minorEastAsia" w:eastAsiaTheme="minorEastAsia" w:cstheme="minorEastAsia"/>
          <w:sz w:val="24"/>
          <w:szCs w:val="24"/>
        </w:rPr>
        <w:t>午</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p>
      <w:pPr>
        <w:pageBreakBefore w:val="0"/>
        <w:kinsoku/>
        <w:wordWrap/>
        <w:overflowPunct/>
        <w:topLinePunct w:val="0"/>
        <w:bidi w:val="0"/>
        <w:snapToGrid/>
        <w:spacing w:line="360" w:lineRule="exact"/>
        <w:rPr>
          <w:rFonts w:hint="default" w:asciiTheme="minorEastAsia" w:hAnsiTheme="minorEastAsia" w:eastAsiaTheme="minorEastAsia" w:cstheme="minorEastAsia"/>
          <w:sz w:val="24"/>
          <w:szCs w:val="24"/>
          <w:highlight w:val="white"/>
          <w:lang w:val="en-US" w:eastAsia="zh-CN"/>
        </w:rPr>
      </w:pPr>
      <w:r>
        <w:rPr>
          <w:rFonts w:hint="eastAsia" w:asciiTheme="minorEastAsia" w:hAnsiTheme="minorEastAsia" w:eastAsiaTheme="minorEastAsia" w:cstheme="minorEastAsia"/>
          <w:sz w:val="24"/>
          <w:szCs w:val="24"/>
          <w:highlight w:val="white"/>
          <w:lang w:eastAsia="zh-CN"/>
        </w:rPr>
        <w:t>谈判</w:t>
      </w:r>
      <w:r>
        <w:rPr>
          <w:rFonts w:hint="eastAsia" w:asciiTheme="minorEastAsia" w:hAnsiTheme="minorEastAsia" w:eastAsiaTheme="minorEastAsia" w:cstheme="minorEastAsia"/>
          <w:sz w:val="24"/>
          <w:szCs w:val="24"/>
          <w:highlight w:val="white"/>
        </w:rPr>
        <w:t>地点：溧水区人民医院</w:t>
      </w:r>
      <w:r>
        <w:rPr>
          <w:rFonts w:hint="eastAsia" w:asciiTheme="minorEastAsia" w:hAnsiTheme="minorEastAsia" w:eastAsiaTheme="minorEastAsia" w:cstheme="minorEastAsia"/>
          <w:sz w:val="24"/>
          <w:szCs w:val="24"/>
          <w:highlight w:val="white"/>
          <w:lang w:val="en-US" w:eastAsia="zh-CN"/>
        </w:rPr>
        <w:t>5号楼行政楼5层小会议室</w:t>
      </w:r>
    </w:p>
    <w:p>
      <w:pPr>
        <w:pageBreakBefore w:val="0"/>
        <w:kinsoku/>
        <w:wordWrap/>
        <w:overflowPunct/>
        <w:topLinePunct w:val="0"/>
        <w:bidi w:val="0"/>
        <w:snapToGrid/>
        <w:spacing w:line="360" w:lineRule="exact"/>
        <w:rPr>
          <w:rFonts w:hint="eastAsia" w:asciiTheme="minorEastAsia" w:hAnsiTheme="minorEastAsia" w:eastAsiaTheme="minorEastAsia" w:cstheme="minorEastAsia"/>
          <w:b/>
          <w:bCs/>
          <w:iCs/>
          <w:sz w:val="24"/>
          <w:szCs w:val="24"/>
        </w:rPr>
      </w:pPr>
      <w:r>
        <w:rPr>
          <w:rFonts w:hint="eastAsia" w:asciiTheme="minorEastAsia" w:hAnsiTheme="minorEastAsia" w:eastAsiaTheme="minorEastAsia" w:cstheme="minorEastAsia"/>
          <w:b/>
          <w:bCs/>
          <w:iCs/>
          <w:sz w:val="24"/>
          <w:szCs w:val="24"/>
          <w:highlight w:val="white"/>
          <w:lang w:eastAsia="zh-CN"/>
        </w:rPr>
        <w:t>八</w:t>
      </w:r>
      <w:r>
        <w:rPr>
          <w:rFonts w:hint="eastAsia" w:asciiTheme="minorEastAsia" w:hAnsiTheme="minorEastAsia" w:eastAsiaTheme="minorEastAsia" w:cstheme="minorEastAsia"/>
          <w:b/>
          <w:bCs/>
          <w:iCs/>
          <w:sz w:val="24"/>
          <w:szCs w:val="24"/>
          <w:highlight w:val="white"/>
        </w:rPr>
        <w:t>、以上</w:t>
      </w:r>
      <w:r>
        <w:rPr>
          <w:rFonts w:hint="eastAsia" w:asciiTheme="minorEastAsia" w:hAnsiTheme="minorEastAsia" w:eastAsiaTheme="minorEastAsia" w:cstheme="minorEastAsia"/>
          <w:b/>
          <w:bCs/>
          <w:iCs/>
          <w:sz w:val="24"/>
          <w:szCs w:val="24"/>
          <w:highlight w:val="white"/>
          <w:lang w:eastAsia="zh-CN"/>
        </w:rPr>
        <w:t>谈判</w:t>
      </w:r>
      <w:r>
        <w:rPr>
          <w:rFonts w:hint="eastAsia" w:asciiTheme="minorEastAsia" w:hAnsiTheme="minorEastAsia" w:eastAsiaTheme="minorEastAsia" w:cstheme="minorEastAsia"/>
          <w:b/>
          <w:bCs/>
          <w:iCs/>
          <w:sz w:val="24"/>
          <w:szCs w:val="24"/>
          <w:highlight w:val="white"/>
        </w:rPr>
        <w:t>函内容如有变动，将在人民医院官网上另行通知。</w:t>
      </w:r>
    </w:p>
    <w:p>
      <w:pPr>
        <w:pageBreakBefore w:val="0"/>
        <w:kinsoku/>
        <w:wordWrap/>
        <w:overflowPunct/>
        <w:topLinePunct w:val="0"/>
        <w:bidi w:val="0"/>
        <w:snapToGrid/>
        <w:spacing w:line="3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iCs/>
          <w:sz w:val="24"/>
          <w:szCs w:val="24"/>
          <w:lang w:eastAsia="zh-CN"/>
        </w:rPr>
        <w:t>九</w:t>
      </w:r>
      <w:r>
        <w:rPr>
          <w:rFonts w:hint="eastAsia" w:asciiTheme="minorEastAsia" w:hAnsiTheme="minorEastAsia" w:eastAsiaTheme="minorEastAsia" w:cstheme="minorEastAsia"/>
          <w:b/>
          <w:bCs/>
          <w:iCs/>
          <w:sz w:val="24"/>
          <w:szCs w:val="24"/>
        </w:rPr>
        <w:t>、供应商如因个人原因不能参与此次项目</w:t>
      </w:r>
      <w:r>
        <w:rPr>
          <w:rFonts w:hint="eastAsia" w:asciiTheme="minorEastAsia" w:hAnsiTheme="minorEastAsia" w:eastAsiaTheme="minorEastAsia" w:cstheme="minorEastAsia"/>
          <w:b/>
          <w:bCs/>
          <w:iCs/>
          <w:sz w:val="24"/>
          <w:szCs w:val="24"/>
          <w:lang w:eastAsia="zh-CN"/>
        </w:rPr>
        <w:t>谈判</w:t>
      </w:r>
      <w:r>
        <w:rPr>
          <w:rFonts w:hint="eastAsia" w:asciiTheme="minorEastAsia" w:hAnsiTheme="minorEastAsia" w:eastAsiaTheme="minorEastAsia" w:cstheme="minorEastAsia"/>
          <w:b/>
          <w:bCs/>
          <w:iCs/>
          <w:sz w:val="24"/>
          <w:szCs w:val="24"/>
        </w:rPr>
        <w:t>，需在开标之日前三天发说明函至人民医院邮箱。不接收临时口头说明。否则进入人民医院失信名单。</w:t>
      </w:r>
    </w:p>
    <w:p>
      <w:pPr>
        <w:pageBreakBefore w:val="0"/>
        <w:kinsoku/>
        <w:wordWrap/>
        <w:overflowPunct/>
        <w:topLinePunct w:val="0"/>
        <w:bidi w:val="0"/>
        <w:snapToGrid/>
        <w:spacing w:line="360" w:lineRule="exact"/>
        <w:ind w:firstLine="5760" w:firstLineChars="2400"/>
        <w:rPr>
          <w:rFonts w:hint="eastAsia" w:asciiTheme="minorEastAsia" w:hAnsiTheme="minorEastAsia" w:eastAsiaTheme="minorEastAsia" w:cstheme="minorEastAsia"/>
          <w:color w:val="000000"/>
          <w:sz w:val="24"/>
          <w:szCs w:val="24"/>
        </w:rPr>
      </w:pPr>
    </w:p>
    <w:p>
      <w:pPr>
        <w:pageBreakBefore w:val="0"/>
        <w:kinsoku/>
        <w:wordWrap/>
        <w:overflowPunct/>
        <w:topLinePunct w:val="0"/>
        <w:bidi w:val="0"/>
        <w:snapToGrid/>
        <w:spacing w:line="360" w:lineRule="exact"/>
        <w:ind w:firstLine="5760" w:firstLineChars="2400"/>
        <w:rPr>
          <w:rFonts w:hint="eastAsia" w:asciiTheme="minorEastAsia" w:hAnsiTheme="minorEastAsia" w:eastAsiaTheme="minorEastAsia" w:cstheme="minorEastAsia"/>
          <w:color w:val="000000"/>
          <w:sz w:val="24"/>
          <w:szCs w:val="24"/>
        </w:rPr>
      </w:pPr>
    </w:p>
    <w:p>
      <w:pPr>
        <w:pageBreakBefore w:val="0"/>
        <w:kinsoku/>
        <w:wordWrap/>
        <w:overflowPunct/>
        <w:topLinePunct w:val="0"/>
        <w:bidi w:val="0"/>
        <w:snapToGrid/>
        <w:spacing w:line="360" w:lineRule="exact"/>
        <w:ind w:firstLine="5760" w:firstLineChars="24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南京市溧水区人民医院</w:t>
      </w:r>
      <w:bookmarkStart w:id="0" w:name="EB39413eca170445439a54ed2f91d71721"/>
    </w:p>
    <w:p>
      <w:pPr>
        <w:pageBreakBefore w:val="0"/>
        <w:kinsoku/>
        <w:wordWrap/>
        <w:overflowPunct/>
        <w:topLinePunct w:val="0"/>
        <w:bidi w:val="0"/>
        <w:snapToGrid/>
        <w:spacing w:line="360" w:lineRule="exact"/>
        <w:ind w:firstLine="6000" w:firstLineChars="2500"/>
        <w:rPr>
          <w:rFonts w:hint="eastAsia" w:asciiTheme="minorEastAsia" w:hAnsiTheme="minorEastAsia" w:eastAsiaTheme="minorEastAsia" w:cstheme="minorEastAsia"/>
          <w:bCs/>
          <w:iCs/>
          <w:sz w:val="24"/>
          <w:szCs w:val="24"/>
          <w:highlight w:val="white"/>
        </w:rPr>
      </w:pPr>
      <w:r>
        <w:rPr>
          <w:rFonts w:hint="eastAsia" w:asciiTheme="minorEastAsia" w:hAnsiTheme="minorEastAsia" w:eastAsiaTheme="minorEastAsia" w:cstheme="minorEastAsia"/>
          <w:bCs/>
          <w:iCs/>
          <w:sz w:val="24"/>
          <w:szCs w:val="24"/>
          <w:highlight w:val="white"/>
        </w:rPr>
        <w:t>202</w:t>
      </w:r>
      <w:r>
        <w:rPr>
          <w:rFonts w:hint="eastAsia" w:asciiTheme="minorEastAsia" w:hAnsiTheme="minorEastAsia" w:eastAsiaTheme="minorEastAsia" w:cstheme="minorEastAsia"/>
          <w:bCs/>
          <w:iCs/>
          <w:sz w:val="24"/>
          <w:szCs w:val="24"/>
          <w:highlight w:val="white"/>
          <w:lang w:val="en-US" w:eastAsia="zh-CN"/>
        </w:rPr>
        <w:t>3</w:t>
      </w:r>
      <w:r>
        <w:rPr>
          <w:rFonts w:hint="eastAsia" w:asciiTheme="minorEastAsia" w:hAnsiTheme="minorEastAsia" w:eastAsiaTheme="minorEastAsia" w:cstheme="minorEastAsia"/>
          <w:bCs/>
          <w:iCs/>
          <w:sz w:val="24"/>
          <w:szCs w:val="24"/>
          <w:highlight w:val="white"/>
        </w:rPr>
        <w:t>年</w:t>
      </w:r>
      <w:r>
        <w:rPr>
          <w:rFonts w:hint="eastAsia" w:asciiTheme="minorEastAsia" w:hAnsiTheme="minorEastAsia" w:eastAsiaTheme="minorEastAsia" w:cstheme="minorEastAsia"/>
          <w:bCs/>
          <w:iCs/>
          <w:sz w:val="24"/>
          <w:szCs w:val="24"/>
          <w:highlight w:val="white"/>
          <w:lang w:val="en-US" w:eastAsia="zh-CN"/>
        </w:rPr>
        <w:t>1</w:t>
      </w:r>
      <w:r>
        <w:rPr>
          <w:rFonts w:hint="eastAsia" w:asciiTheme="minorEastAsia" w:hAnsiTheme="minorEastAsia" w:eastAsiaTheme="minorEastAsia" w:cstheme="minorEastAsia"/>
          <w:bCs/>
          <w:iCs/>
          <w:sz w:val="24"/>
          <w:szCs w:val="24"/>
          <w:highlight w:val="white"/>
        </w:rPr>
        <w:t>月</w:t>
      </w:r>
      <w:r>
        <w:rPr>
          <w:rFonts w:hint="eastAsia" w:asciiTheme="minorEastAsia" w:hAnsiTheme="minorEastAsia" w:eastAsiaTheme="minorEastAsia" w:cstheme="minorEastAsia"/>
          <w:bCs/>
          <w:iCs/>
          <w:sz w:val="24"/>
          <w:szCs w:val="24"/>
          <w:highlight w:val="white"/>
          <w:lang w:val="en-US" w:eastAsia="zh-CN"/>
        </w:rPr>
        <w:t>5</w:t>
      </w:r>
      <w:r>
        <w:rPr>
          <w:rFonts w:hint="eastAsia" w:asciiTheme="minorEastAsia" w:hAnsiTheme="minorEastAsia" w:eastAsiaTheme="minorEastAsia" w:cstheme="minorEastAsia"/>
          <w:bCs/>
          <w:iCs/>
          <w:sz w:val="24"/>
          <w:szCs w:val="24"/>
          <w:highlight w:val="white"/>
        </w:rPr>
        <w:t>日</w:t>
      </w:r>
      <w:bookmarkEnd w:id="0"/>
    </w:p>
    <w:p>
      <w:pPr>
        <w:pageBreakBefore w:val="0"/>
        <w:kinsoku/>
        <w:wordWrap/>
        <w:overflowPunct/>
        <w:topLinePunct w:val="0"/>
        <w:autoSpaceDE w:val="0"/>
        <w:autoSpaceDN w:val="0"/>
        <w:bidi w:val="0"/>
        <w:adjustRightInd w:val="0"/>
        <w:snapToGrid w:val="0"/>
        <w:spacing w:line="360" w:lineRule="exact"/>
        <w:jc w:val="center"/>
        <w:textAlignment w:val="auto"/>
        <w:rPr>
          <w:rFonts w:hint="eastAsia" w:ascii="黑体" w:hAnsi="宋体" w:eastAsia="黑体"/>
          <w:spacing w:val="-10"/>
          <w:sz w:val="28"/>
          <w:szCs w:val="28"/>
        </w:rPr>
      </w:pPr>
    </w:p>
    <w:p>
      <w:pPr>
        <w:pageBreakBefore w:val="0"/>
        <w:kinsoku/>
        <w:wordWrap/>
        <w:overflowPunct/>
        <w:topLinePunct w:val="0"/>
        <w:autoSpaceDE w:val="0"/>
        <w:autoSpaceDN w:val="0"/>
        <w:bidi w:val="0"/>
        <w:adjustRightInd w:val="0"/>
        <w:snapToGrid w:val="0"/>
        <w:spacing w:line="360" w:lineRule="exact"/>
        <w:jc w:val="center"/>
        <w:textAlignment w:val="auto"/>
        <w:rPr>
          <w:rFonts w:hint="eastAsia" w:ascii="黑体" w:hAnsi="宋体" w:eastAsia="黑体"/>
          <w:spacing w:val="-10"/>
          <w:sz w:val="28"/>
          <w:szCs w:val="28"/>
        </w:rPr>
      </w:pPr>
    </w:p>
    <w:p>
      <w:pPr>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b/>
          <w:bCs/>
          <w:sz w:val="28"/>
          <w:szCs w:val="28"/>
          <w:lang w:val="zh-CN"/>
        </w:rPr>
      </w:pPr>
      <w:r>
        <w:rPr>
          <w:rFonts w:hint="eastAsia" w:ascii="黑体" w:hAnsi="宋体" w:eastAsia="黑体"/>
          <w:spacing w:val="-10"/>
          <w:sz w:val="28"/>
          <w:szCs w:val="28"/>
        </w:rPr>
        <w:t>第二章 竞争性谈判须知</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lang w:val="zh-CN"/>
        </w:rPr>
        <w:t>一、总</w:t>
      </w:r>
      <w:r>
        <w:rPr>
          <w:rFonts w:ascii="宋体" w:hAnsi="宋体"/>
          <w:b/>
          <w:bCs/>
          <w:sz w:val="24"/>
          <w:szCs w:val="24"/>
          <w:lang w:val="zh-CN"/>
        </w:rPr>
        <w:t xml:space="preserve">    </w:t>
      </w:r>
      <w:r>
        <w:rPr>
          <w:rFonts w:hint="eastAsia" w:ascii="宋体" w:hAnsi="宋体"/>
          <w:b/>
          <w:bCs/>
          <w:sz w:val="24"/>
          <w:szCs w:val="24"/>
          <w:lang w:val="zh-CN"/>
        </w:rPr>
        <w:t>则</w:t>
      </w:r>
    </w:p>
    <w:p>
      <w:pPr>
        <w:keepNext w:val="0"/>
        <w:keepLines w:val="0"/>
        <w:pageBreakBefore w:val="0"/>
        <w:kinsoku/>
        <w:wordWrap/>
        <w:overflowPunct/>
        <w:topLinePunct w:val="0"/>
        <w:autoSpaceDE w:val="0"/>
        <w:autoSpaceDN w:val="0"/>
        <w:bidi w:val="0"/>
        <w:adjustRightInd w:val="0"/>
        <w:spacing w:line="360" w:lineRule="exact"/>
        <w:ind w:firstLine="420"/>
        <w:textAlignment w:val="auto"/>
        <w:outlineLvl w:val="0"/>
        <w:rPr>
          <w:rFonts w:ascii="宋体"/>
          <w:color w:val="000000"/>
          <w:sz w:val="24"/>
          <w:szCs w:val="24"/>
          <w:lang w:val="zh-CN"/>
        </w:rPr>
      </w:pPr>
      <w:r>
        <w:rPr>
          <w:rFonts w:ascii="宋体"/>
          <w:color w:val="000000"/>
          <w:sz w:val="24"/>
          <w:szCs w:val="24"/>
          <w:lang w:val="zh-CN"/>
        </w:rPr>
        <w:t>1</w:t>
      </w:r>
      <w:r>
        <w:rPr>
          <w:rFonts w:hint="eastAsia" w:ascii="宋体"/>
          <w:color w:val="000000"/>
          <w:sz w:val="24"/>
          <w:szCs w:val="24"/>
          <w:lang w:val="zh-CN"/>
        </w:rPr>
        <w:t>、适用法律</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color w:val="000000"/>
          <w:sz w:val="24"/>
          <w:szCs w:val="24"/>
          <w:lang w:val="zh-CN"/>
        </w:rPr>
      </w:pPr>
      <w:r>
        <w:rPr>
          <w:rFonts w:ascii="宋体"/>
          <w:color w:val="000000"/>
          <w:sz w:val="24"/>
          <w:szCs w:val="24"/>
          <w:lang w:val="zh-CN"/>
        </w:rPr>
        <w:t>1.1</w:t>
      </w:r>
      <w:r>
        <w:rPr>
          <w:rFonts w:hint="eastAsia" w:ascii="宋体"/>
          <w:color w:val="000000"/>
          <w:sz w:val="24"/>
          <w:szCs w:val="24"/>
          <w:lang w:val="zh-CN"/>
        </w:rPr>
        <w:t xml:space="preserve"> 《中华人民共和国政府采购法》、《中华人民共和国政府采购法实施条例》、《政府采购非招标方式管理办法》等有关法律、规章和规定等。</w:t>
      </w:r>
    </w:p>
    <w:p>
      <w:pPr>
        <w:keepNext w:val="0"/>
        <w:keepLines w:val="0"/>
        <w:pageBreakBefore w:val="0"/>
        <w:kinsoku/>
        <w:wordWrap/>
        <w:overflowPunct/>
        <w:topLinePunct w:val="0"/>
        <w:autoSpaceDE w:val="0"/>
        <w:autoSpaceDN w:val="0"/>
        <w:bidi w:val="0"/>
        <w:adjustRightInd w:val="0"/>
        <w:spacing w:line="360" w:lineRule="exact"/>
        <w:ind w:firstLine="420"/>
        <w:textAlignment w:val="auto"/>
        <w:outlineLvl w:val="0"/>
        <w:rPr>
          <w:rFonts w:ascii="宋体"/>
          <w:b/>
          <w:color w:val="000000"/>
          <w:sz w:val="24"/>
          <w:szCs w:val="24"/>
          <w:lang w:val="zh-CN"/>
        </w:rPr>
      </w:pPr>
      <w:r>
        <w:rPr>
          <w:rFonts w:ascii="宋体"/>
          <w:b/>
          <w:color w:val="000000"/>
          <w:sz w:val="24"/>
          <w:szCs w:val="24"/>
          <w:lang w:val="zh-CN"/>
        </w:rPr>
        <w:t>2</w:t>
      </w:r>
      <w:r>
        <w:rPr>
          <w:rFonts w:hint="eastAsia" w:ascii="宋体"/>
          <w:b/>
          <w:color w:val="000000"/>
          <w:sz w:val="24"/>
          <w:szCs w:val="24"/>
          <w:lang w:val="zh-CN"/>
        </w:rPr>
        <w:t>、定义</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color w:val="000000"/>
          <w:sz w:val="24"/>
          <w:szCs w:val="24"/>
          <w:lang w:val="zh-CN"/>
        </w:rPr>
      </w:pPr>
      <w:r>
        <w:rPr>
          <w:rFonts w:ascii="宋体"/>
          <w:color w:val="000000"/>
          <w:sz w:val="24"/>
          <w:szCs w:val="24"/>
          <w:lang w:val="zh-CN"/>
        </w:rPr>
        <w:t>2.</w:t>
      </w:r>
      <w:r>
        <w:rPr>
          <w:rFonts w:hint="eastAsia" w:ascii="宋体"/>
          <w:color w:val="000000"/>
          <w:sz w:val="24"/>
          <w:szCs w:val="24"/>
          <w:lang w:val="zh-CN"/>
        </w:rPr>
        <w:t>1 “</w:t>
      </w:r>
      <w:r>
        <w:rPr>
          <w:rFonts w:hint="eastAsia" w:ascii="宋体"/>
          <w:b/>
          <w:color w:val="000000"/>
          <w:sz w:val="24"/>
          <w:szCs w:val="24"/>
          <w:lang w:val="zh-CN"/>
        </w:rPr>
        <w:t>供应商</w:t>
      </w:r>
      <w:r>
        <w:rPr>
          <w:rFonts w:hint="eastAsia" w:ascii="宋体"/>
          <w:color w:val="000000"/>
          <w:sz w:val="24"/>
          <w:szCs w:val="24"/>
          <w:lang w:val="zh-CN"/>
        </w:rPr>
        <w:t>”</w:t>
      </w:r>
      <w:r>
        <w:rPr>
          <w:rFonts w:hint="eastAsia"/>
          <w:color w:val="000000"/>
          <w:sz w:val="24"/>
          <w:szCs w:val="24"/>
        </w:rPr>
        <w:t>是指参加谈判竞争，并符合采购文件规定资格条件的法人、其他组织。</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b/>
          <w:color w:val="000000"/>
          <w:sz w:val="24"/>
          <w:szCs w:val="24"/>
          <w:lang w:val="zh-CN"/>
        </w:rPr>
      </w:pPr>
      <w:r>
        <w:rPr>
          <w:rFonts w:ascii="宋体"/>
          <w:color w:val="000000"/>
          <w:sz w:val="24"/>
          <w:szCs w:val="24"/>
          <w:lang w:val="zh-CN"/>
        </w:rPr>
        <w:t>2.</w:t>
      </w:r>
      <w:r>
        <w:rPr>
          <w:rFonts w:hint="eastAsia" w:ascii="宋体"/>
          <w:color w:val="000000"/>
          <w:sz w:val="24"/>
          <w:szCs w:val="24"/>
          <w:lang w:val="zh-CN"/>
        </w:rPr>
        <w:t>2 “货物和服务”指本采购文件中所述产品及相关服务。</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color w:val="000000"/>
          <w:sz w:val="24"/>
          <w:szCs w:val="24"/>
          <w:lang w:val="zh-CN"/>
        </w:rPr>
      </w:pPr>
      <w:r>
        <w:rPr>
          <w:rFonts w:ascii="宋体"/>
          <w:color w:val="000000"/>
          <w:sz w:val="24"/>
          <w:szCs w:val="24"/>
          <w:lang w:val="zh-CN"/>
        </w:rPr>
        <w:t>2.</w:t>
      </w:r>
      <w:r>
        <w:rPr>
          <w:rFonts w:hint="eastAsia" w:ascii="宋体"/>
          <w:color w:val="000000"/>
          <w:sz w:val="24"/>
          <w:szCs w:val="24"/>
          <w:lang w:val="zh-CN"/>
        </w:rPr>
        <w:t>3 “用户或使用单位”是指使用货物、服务的单位。</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b/>
          <w:sz w:val="24"/>
          <w:szCs w:val="24"/>
          <w:lang w:val="zh-CN"/>
        </w:rPr>
      </w:pPr>
      <w:r>
        <w:rPr>
          <w:rFonts w:hint="eastAsia" w:ascii="宋体"/>
          <w:b/>
          <w:sz w:val="24"/>
          <w:szCs w:val="24"/>
          <w:lang w:val="zh-CN"/>
        </w:rPr>
        <w:t>3、政策功能</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cs="宋体"/>
          <w:sz w:val="24"/>
          <w:szCs w:val="24"/>
          <w:lang w:val="zh-CN"/>
        </w:rPr>
      </w:pPr>
      <w:r>
        <w:rPr>
          <w:rFonts w:hint="eastAsia" w:ascii="宋体" w:hAnsi="宋体" w:cs="宋体"/>
          <w:sz w:val="24"/>
          <w:szCs w:val="24"/>
          <w:lang w:val="zh-CN"/>
        </w:rPr>
        <w:t>3.1政府采购促进中小企业发展，小企业（含小型、微型企业）提供的产品和服务在评标时将获得优势，参加投标的小企业，应当提供《 中小企业声明函》（“中小企业划型标准”详见《关于印发中小企业划型标准规定的通知》工信部联企业〔2011〕300号及《国家统计局 关于印发统计上大中小微型企业划分办法的通知》国统字〔2017〕213号）、中小企业享受政府采购支持政策的要求详见《政府采购促进中小企业发展管理办法》财库〔2020〕46号。</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cs="宋体"/>
          <w:sz w:val="24"/>
          <w:szCs w:val="24"/>
          <w:lang w:val="zh-CN"/>
        </w:rPr>
      </w:pPr>
      <w:r>
        <w:rPr>
          <w:rFonts w:hint="eastAsia" w:ascii="宋体" w:hAnsi="宋体" w:cs="宋体"/>
          <w:sz w:val="24"/>
          <w:szCs w:val="24"/>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 制性产品认证证书的产品；环境标志产品是指列入财政部、国家环保总局制定的环境标志产品品目政府采购清单，且经过认证的环境标志产品。</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 xml:space="preserve"> 供应商提供的产品属于信息安全产品的，应当选择经国家认证的信息安全产品投标，并提供由中国信息安全认证中心按国家标准 认证颁发的有效认证证书复印件。 </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供应商提供的产品属于政府强制采购节能产品的，应当选择《节能产品政府采购清单》中的产品投标，并提供有效的节能产品认 证证书复印件。 </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3.8</w:t>
      </w:r>
      <w:r>
        <w:rPr>
          <w:rFonts w:hint="eastAsia" w:ascii="宋体" w:hAnsi="宋体" w:cs="宋体"/>
          <w:sz w:val="24"/>
          <w:szCs w:val="24"/>
          <w:lang w:val="zh-CN"/>
        </w:rPr>
        <w:t xml:space="preserve"> 提供的产品属于环境标志产品的,供应商应当选择最新一期《环境标志产品政府采购清单》中的,且经过认证的环境标志产品投标,并提供有效的环境标志产品认证证书复印件。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ascii="宋体" w:hAnsi="宋体"/>
          <w:b/>
          <w:bCs/>
          <w:sz w:val="24"/>
          <w:szCs w:val="24"/>
          <w:lang w:val="zh-CN"/>
        </w:rPr>
      </w:pPr>
      <w:r>
        <w:rPr>
          <w:rFonts w:hint="eastAsia" w:ascii="宋体" w:hAnsi="宋体"/>
          <w:b/>
          <w:sz w:val="24"/>
          <w:szCs w:val="24"/>
        </w:rPr>
        <w:t>4、</w:t>
      </w:r>
      <w:r>
        <w:rPr>
          <w:rFonts w:hint="eastAsia" w:ascii="宋体" w:hAnsi="宋体"/>
          <w:b/>
          <w:bCs/>
          <w:sz w:val="24"/>
          <w:szCs w:val="24"/>
          <w:lang w:val="zh-CN"/>
        </w:rPr>
        <w:t>谈判费用</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Times New Roman" w:cs="宋体"/>
          <w:sz w:val="24"/>
          <w:szCs w:val="24"/>
          <w:lang w:val="zh-CN"/>
        </w:rPr>
      </w:pPr>
      <w:r>
        <w:rPr>
          <w:rFonts w:hint="eastAsia" w:ascii="宋体" w:hAnsi="宋体"/>
          <w:sz w:val="24"/>
          <w:szCs w:val="24"/>
        </w:rPr>
        <w:t>4.1</w:t>
      </w:r>
      <w:r>
        <w:rPr>
          <w:rFonts w:hint="eastAsia" w:ascii="宋体" w:hAnsi="宋体"/>
          <w:sz w:val="24"/>
          <w:szCs w:val="24"/>
          <w:lang w:val="zh-CN"/>
        </w:rPr>
        <w:t xml:space="preserve"> 供应商应承担所有与准备和参加谈判有关的费用，无论采购结果如何，采购人在任何情况下无义务和责任承担这些费用。</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b/>
          <w:sz w:val="24"/>
          <w:szCs w:val="24"/>
          <w:lang w:val="zh-CN"/>
        </w:rPr>
        <w:t>二、响应文件编制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b/>
          <w:bCs/>
          <w:sz w:val="24"/>
          <w:szCs w:val="24"/>
          <w:lang w:val="zh-CN"/>
        </w:rPr>
        <w:t>5、</w:t>
      </w:r>
      <w:r>
        <w:rPr>
          <w:rFonts w:hint="eastAsia" w:ascii="宋体" w:hAnsi="宋体"/>
          <w:sz w:val="24"/>
          <w:szCs w:val="24"/>
          <w:lang w:val="zh-CN"/>
        </w:rPr>
        <w:t>供应商应当按照谈判文件的要求编制响应文件，并对其提交的响应文件真实性、合法性承担法律责任。</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lang w:val="zh-CN"/>
        </w:rPr>
        <w:t>6、响应文件的语言、计量单位、货币和编制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.1</w:t>
      </w:r>
      <w:r>
        <w:rPr>
          <w:rFonts w:hint="eastAsia" w:ascii="宋体" w:hAnsi="宋体"/>
          <w:sz w:val="24"/>
          <w:szCs w:val="24"/>
          <w:lang w:val="zh-CN"/>
        </w:rPr>
        <w:t xml:space="preserve"> 提交的响应文件、技术文件和资料，包括图纸中的说明，以及供应商与溧水区人民医院就有关谈判的所有来往函电均应使用中文。响应文件中若有英文或其他语言文字的资料，应提供相应的中文翻译资料。对不同文本响应文件的解释发生异议的，以中文文本为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.2</w:t>
      </w:r>
      <w:r>
        <w:rPr>
          <w:rFonts w:hint="eastAsia" w:ascii="宋体" w:hAnsi="宋体"/>
          <w:sz w:val="24"/>
          <w:szCs w:val="24"/>
          <w:lang w:val="zh-CN"/>
        </w:rPr>
        <w:t xml:space="preserve"> 供应商所使用的计量单位应为国家法定计量单位。</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.3</w:t>
      </w:r>
      <w:r>
        <w:rPr>
          <w:rFonts w:hint="eastAsia" w:ascii="宋体" w:hAnsi="宋体"/>
          <w:sz w:val="24"/>
          <w:szCs w:val="24"/>
          <w:lang w:val="zh-CN"/>
        </w:rPr>
        <w:t xml:space="preserve"> 供应商应用人民币报价。</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.4</w:t>
      </w:r>
      <w:r>
        <w:rPr>
          <w:rFonts w:hint="eastAsia" w:ascii="宋体" w:hAnsi="宋体"/>
          <w:sz w:val="24"/>
          <w:szCs w:val="24"/>
          <w:lang w:val="zh-CN"/>
        </w:rPr>
        <w:t xml:space="preserve"> 响应文件应字迹清楚、内容齐全、不得涂改。如有修改，修改处须有供应商公章或法定代表人或其授权谈判代表签字。</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sz w:val="24"/>
          <w:szCs w:val="24"/>
          <w:lang w:val="zh-CN"/>
        </w:rPr>
      </w:pPr>
      <w:r>
        <w:rPr>
          <w:rFonts w:hint="eastAsia" w:ascii="宋体" w:hAnsi="宋体"/>
          <w:sz w:val="24"/>
          <w:szCs w:val="24"/>
          <w:lang w:val="zh-CN"/>
        </w:rPr>
        <w:t>6</w:t>
      </w:r>
      <w:r>
        <w:rPr>
          <w:rFonts w:ascii="宋体" w:hAnsi="宋体"/>
          <w:sz w:val="24"/>
          <w:szCs w:val="24"/>
          <w:lang w:val="zh-CN"/>
        </w:rPr>
        <w:t>.5</w:t>
      </w:r>
      <w:r>
        <w:rPr>
          <w:rFonts w:hint="eastAsia" w:ascii="宋体" w:hAnsi="宋体"/>
          <w:sz w:val="24"/>
          <w:szCs w:val="24"/>
          <w:lang w:val="zh-CN"/>
        </w:rPr>
        <w:t xml:space="preserve"> 响应文件应按照谈判文件规定的顺序，</w:t>
      </w:r>
      <w:r>
        <w:rPr>
          <w:rFonts w:hint="eastAsia" w:ascii="宋体"/>
          <w:sz w:val="24"/>
          <w:szCs w:val="24"/>
          <w:lang w:val="zh-CN"/>
        </w:rPr>
        <w:t>统一用</w:t>
      </w:r>
      <w:r>
        <w:rPr>
          <w:rFonts w:ascii="宋体"/>
          <w:sz w:val="24"/>
          <w:szCs w:val="24"/>
          <w:lang w:val="zh-CN"/>
        </w:rPr>
        <w:t>A4</w:t>
      </w:r>
      <w:r>
        <w:rPr>
          <w:rFonts w:hint="eastAsia" w:ascii="宋体"/>
          <w:sz w:val="24"/>
          <w:szCs w:val="24"/>
          <w:lang w:val="zh-CN"/>
        </w:rPr>
        <w:t>规格幅面双面打印、装订成册并编制目录，由于编排混乱导致谈判文件被误读或查找不到，责任由供应商承担。</w:t>
      </w:r>
    </w:p>
    <w:p>
      <w:pPr>
        <w:keepNext w:val="0"/>
        <w:keepLines w:val="0"/>
        <w:pageBreakBefore w:val="0"/>
        <w:kinsoku/>
        <w:wordWrap/>
        <w:overflowPunct/>
        <w:topLinePunct w:val="0"/>
        <w:bidi w:val="0"/>
        <w:spacing w:line="360" w:lineRule="exact"/>
        <w:ind w:firstLine="420"/>
        <w:textAlignment w:val="auto"/>
        <w:rPr>
          <w:rFonts w:hint="eastAsia" w:ascii="宋体"/>
          <w:sz w:val="24"/>
          <w:szCs w:val="24"/>
          <w:lang w:val="zh-CN"/>
        </w:rPr>
      </w:pPr>
      <w:r>
        <w:rPr>
          <w:rFonts w:hint="eastAsia" w:ascii="宋体"/>
          <w:sz w:val="24"/>
          <w:szCs w:val="24"/>
          <w:lang w:val="zh-CN"/>
        </w:rPr>
        <w:t>6.6</w:t>
      </w:r>
      <w:r>
        <w:rPr>
          <w:rFonts w:hint="eastAsia" w:ascii="宋体"/>
          <w:sz w:val="24"/>
          <w:szCs w:val="24"/>
        </w:rPr>
        <w:t xml:space="preserve"> </w:t>
      </w:r>
      <w:r>
        <w:rPr>
          <w:rFonts w:hint="eastAsia" w:ascii="宋体" w:hAnsi="宋体"/>
          <w:sz w:val="24"/>
          <w:szCs w:val="24"/>
          <w:lang w:val="zh-CN"/>
        </w:rPr>
        <w:t>响应</w:t>
      </w:r>
      <w:r>
        <w:rPr>
          <w:rFonts w:hint="eastAsia" w:ascii="宋体"/>
          <w:sz w:val="24"/>
          <w:szCs w:val="24"/>
          <w:lang w:val="zh-CN"/>
        </w:rPr>
        <w:t>文件应逐页编码，不得跳页（包括但不限于授权、证明材料、声明及产品介绍、彩页等）。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6</w:t>
      </w:r>
      <w:r>
        <w:rPr>
          <w:rFonts w:ascii="宋体" w:hAnsi="宋体"/>
          <w:sz w:val="24"/>
          <w:szCs w:val="24"/>
          <w:lang w:val="zh-CN"/>
        </w:rPr>
        <w:t>.</w:t>
      </w:r>
      <w:r>
        <w:rPr>
          <w:rFonts w:hint="eastAsia" w:ascii="宋体" w:hAnsi="宋体"/>
          <w:sz w:val="24"/>
          <w:szCs w:val="24"/>
          <w:lang w:val="zh-CN"/>
        </w:rPr>
        <w:t>7 供应商应在响应文件中写清相应的项目编号、项目名称、供应商名称、地址、电话、传真等。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b/>
          <w:bCs/>
          <w:sz w:val="24"/>
          <w:szCs w:val="24"/>
          <w:lang w:val="zh-CN"/>
        </w:rPr>
        <w:t>7、响应文件的组成</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7</w:t>
      </w:r>
      <w:r>
        <w:rPr>
          <w:rFonts w:ascii="宋体" w:hAnsi="宋体"/>
          <w:sz w:val="24"/>
          <w:szCs w:val="24"/>
          <w:lang w:val="zh-CN"/>
        </w:rPr>
        <w:t>.1</w:t>
      </w:r>
      <w:r>
        <w:rPr>
          <w:rFonts w:hint="eastAsia" w:ascii="宋体" w:hAnsi="宋体"/>
          <w:sz w:val="24"/>
          <w:szCs w:val="24"/>
          <w:lang w:val="zh-CN"/>
        </w:rPr>
        <w:t xml:space="preserve"> </w:t>
      </w:r>
      <w:r>
        <w:rPr>
          <w:rFonts w:hint="eastAsia" w:ascii="宋体" w:hAnsi="宋体"/>
          <w:sz w:val="24"/>
          <w:szCs w:val="24"/>
        </w:rPr>
        <w:t>供应商应当根据谈判文件要求编制响应文件，并根据自己的商务能力、技术水平对谈判文件提出的要求和条件逐条标明是否响应。</w:t>
      </w:r>
      <w:r>
        <w:rPr>
          <w:rFonts w:hint="eastAsia" w:ascii="宋体" w:hAnsi="宋体"/>
          <w:sz w:val="24"/>
          <w:szCs w:val="24"/>
          <w:lang w:val="zh-CN"/>
        </w:rPr>
        <w:t>响应文件由商务部分、技术部分、价格部分，以及其他部分组成。</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bCs/>
          <w:sz w:val="24"/>
          <w:szCs w:val="24"/>
          <w:lang w:val="zh-CN"/>
        </w:rPr>
        <w:t xml:space="preserve">7.2 </w:t>
      </w:r>
      <w:r>
        <w:rPr>
          <w:rFonts w:hint="eastAsia" w:ascii="宋体" w:hAnsi="宋体"/>
          <w:b/>
          <w:bCs/>
          <w:sz w:val="24"/>
          <w:szCs w:val="24"/>
          <w:lang w:val="zh-CN"/>
        </w:rPr>
        <w:t>响应文件的商务部分。</w:t>
      </w:r>
      <w:r>
        <w:rPr>
          <w:rFonts w:hint="eastAsia" w:ascii="宋体" w:hAnsi="宋体"/>
          <w:sz w:val="24"/>
          <w:szCs w:val="24"/>
          <w:lang w:val="zh-CN"/>
        </w:rPr>
        <w:t>商务部分是证明供应商有资格参加谈判和成交后有能力履行合同的文件，</w:t>
      </w:r>
      <w:r>
        <w:rPr>
          <w:rFonts w:hint="eastAsia" w:ascii="宋体" w:hAnsi="宋体"/>
          <w:sz w:val="24"/>
          <w:szCs w:val="24"/>
        </w:rPr>
        <w:t>这些文件应能满足竞争性谈判采购文件的要求</w:t>
      </w:r>
      <w:r>
        <w:rPr>
          <w:rFonts w:hint="eastAsia" w:ascii="宋体" w:hAnsi="宋体"/>
          <w:sz w:val="24"/>
          <w:szCs w:val="24"/>
          <w:lang w:val="zh-CN"/>
        </w:rPr>
        <w:t>，包括但不限于下列文件，其中加</w:t>
      </w:r>
      <w:r>
        <w:rPr>
          <w:rFonts w:hint="eastAsia" w:ascii="宋体"/>
          <w:sz w:val="24"/>
          <w:szCs w:val="24"/>
          <w:lang w:val="zh-CN"/>
        </w:rPr>
        <w:t>“</w:t>
      </w:r>
      <w:r>
        <w:rPr>
          <w:rFonts w:ascii="宋体"/>
          <w:sz w:val="24"/>
          <w:szCs w:val="24"/>
          <w:lang w:val="zh-CN"/>
        </w:rPr>
        <w:t>★</w:t>
      </w:r>
      <w:r>
        <w:rPr>
          <w:rFonts w:hint="eastAsia" w:ascii="宋体"/>
          <w:sz w:val="24"/>
          <w:szCs w:val="24"/>
          <w:lang w:val="zh-CN"/>
        </w:rPr>
        <w:t>”</w:t>
      </w:r>
      <w:r>
        <w:rPr>
          <w:rFonts w:hint="eastAsia" w:ascii="宋体" w:hAnsi="宋体"/>
          <w:sz w:val="24"/>
          <w:szCs w:val="24"/>
          <w:lang w:val="zh-CN"/>
        </w:rPr>
        <w:t>项目不得有缺失或无效：</w:t>
      </w:r>
    </w:p>
    <w:p>
      <w:pPr>
        <w:keepNext w:val="0"/>
        <w:keepLines w:val="0"/>
        <w:pageBreakBefore w:val="0"/>
        <w:kinsoku/>
        <w:wordWrap/>
        <w:overflowPunct/>
        <w:topLinePunct w:val="0"/>
        <w:autoSpaceDE w:val="0"/>
        <w:autoSpaceDN w:val="0"/>
        <w:bidi w:val="0"/>
        <w:adjustRightInd w:val="0"/>
        <w:snapToGrid w:val="0"/>
        <w:spacing w:line="360" w:lineRule="exact"/>
        <w:ind w:firstLine="420"/>
        <w:jc w:val="left"/>
        <w:textAlignment w:val="auto"/>
        <w:rPr>
          <w:rFonts w:ascii="宋体" w:hAnsi="宋体"/>
          <w:sz w:val="24"/>
          <w:szCs w:val="24"/>
          <w:lang w:val="zh-CN"/>
        </w:rPr>
      </w:pP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w:t>
      </w:r>
      <w:r>
        <w:rPr>
          <w:rFonts w:ascii="宋体"/>
          <w:sz w:val="24"/>
          <w:szCs w:val="24"/>
          <w:lang w:val="zh-CN"/>
        </w:rPr>
        <w:t>★</w:t>
      </w:r>
      <w:r>
        <w:rPr>
          <w:rFonts w:hint="eastAsia" w:ascii="宋体" w:hAnsi="宋体"/>
          <w:sz w:val="24"/>
          <w:szCs w:val="24"/>
          <w:lang w:val="zh-CN"/>
        </w:rPr>
        <w:t xml:space="preserve"> 谈判申请及声明；</w:t>
      </w:r>
    </w:p>
    <w:p>
      <w:pPr>
        <w:keepNext w:val="0"/>
        <w:keepLines w:val="0"/>
        <w:pageBreakBefore w:val="0"/>
        <w:widowControl/>
        <w:kinsoku/>
        <w:wordWrap/>
        <w:overflowPunct/>
        <w:topLinePunct w:val="0"/>
        <w:bidi w:val="0"/>
        <w:adjustRightInd w:val="0"/>
        <w:snapToGrid w:val="0"/>
        <w:spacing w:line="360" w:lineRule="exact"/>
        <w:ind w:firstLine="420"/>
        <w:jc w:val="left"/>
        <w:textAlignment w:val="auto"/>
        <w:rPr>
          <w:rFonts w:hint="eastAsia" w:ascii="宋体" w:hAnsi="宋体" w:cs="宋体"/>
          <w:kern w:val="0"/>
          <w:sz w:val="24"/>
          <w:szCs w:val="24"/>
          <w:lang w:val="zh-CN"/>
        </w:rPr>
      </w:pPr>
      <w:r>
        <w:rPr>
          <w:rFonts w:hint="eastAsia" w:ascii="宋体" w:hAnsi="宋体" w:cs="宋体"/>
          <w:kern w:val="0"/>
          <w:sz w:val="24"/>
          <w:szCs w:val="24"/>
          <w:lang w:val="zh-CN"/>
        </w:rPr>
        <w:t>（2）</w:t>
      </w:r>
      <w:r>
        <w:rPr>
          <w:rFonts w:ascii="宋体"/>
          <w:sz w:val="24"/>
          <w:szCs w:val="24"/>
          <w:lang w:val="zh-CN"/>
        </w:rPr>
        <w:t>★</w:t>
      </w:r>
      <w:r>
        <w:rPr>
          <w:rFonts w:hint="eastAsia" w:ascii="宋体"/>
          <w:sz w:val="24"/>
          <w:szCs w:val="24"/>
          <w:lang w:val="zh-CN"/>
        </w:rPr>
        <w:t xml:space="preserve"> </w:t>
      </w:r>
      <w:r>
        <w:rPr>
          <w:rFonts w:hint="eastAsia" w:ascii="宋体" w:hAnsi="宋体" w:cs="宋体"/>
          <w:kern w:val="0"/>
          <w:sz w:val="24"/>
          <w:szCs w:val="24"/>
          <w:lang w:val="zh-CN"/>
        </w:rPr>
        <w:t>法定代表人授权委托书及委托代理人的身份证复印件；</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w:t>
      </w:r>
      <w:r>
        <w:rPr>
          <w:rFonts w:ascii="宋体"/>
          <w:sz w:val="24"/>
          <w:szCs w:val="24"/>
          <w:lang w:val="zh-CN"/>
        </w:rPr>
        <w:t>★</w:t>
      </w:r>
      <w:r>
        <w:rPr>
          <w:rFonts w:hint="eastAsia" w:ascii="宋体"/>
          <w:sz w:val="24"/>
          <w:szCs w:val="24"/>
          <w:lang w:val="zh-CN"/>
        </w:rPr>
        <w:t xml:space="preserve"> </w:t>
      </w:r>
      <w:r>
        <w:rPr>
          <w:rFonts w:hint="eastAsia" w:ascii="宋体" w:hAnsi="宋体" w:cs="宋体"/>
          <w:color w:val="000000"/>
          <w:kern w:val="0"/>
          <w:sz w:val="24"/>
          <w:szCs w:val="24"/>
        </w:rPr>
        <w:t>第一章谈判邀请中 4.1</w:t>
      </w:r>
      <w:r>
        <w:rPr>
          <w:rFonts w:hint="eastAsia" w:ascii="宋体" w:hAnsi="宋体"/>
          <w:color w:val="000000"/>
          <w:sz w:val="24"/>
          <w:szCs w:val="24"/>
          <w:lang w:val="zh-CN"/>
        </w:rPr>
        <w:t>《中华人民共和国政府采购法》规定的资格条件证明文件</w:t>
      </w:r>
      <w:r>
        <w:rPr>
          <w:rFonts w:hint="eastAsia" w:ascii="宋体" w:hAnsi="宋体" w:cs="宋体"/>
          <w:color w:val="000000"/>
          <w:kern w:val="0"/>
          <w:sz w:val="24"/>
          <w:szCs w:val="24"/>
          <w:lang w:val="zh-CN"/>
        </w:rPr>
        <w:t>；</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w:t>
      </w:r>
      <w:r>
        <w:rPr>
          <w:rFonts w:ascii="宋体"/>
          <w:sz w:val="24"/>
          <w:szCs w:val="24"/>
          <w:lang w:val="zh-CN"/>
        </w:rPr>
        <w:t>★</w:t>
      </w:r>
      <w:r>
        <w:rPr>
          <w:rFonts w:hint="eastAsia" w:ascii="宋体"/>
          <w:sz w:val="24"/>
          <w:szCs w:val="24"/>
          <w:lang w:val="zh-CN"/>
        </w:rPr>
        <w:t xml:space="preserve"> </w:t>
      </w:r>
      <w:r>
        <w:rPr>
          <w:rFonts w:hint="eastAsia" w:ascii="宋体" w:hAnsi="宋体" w:cs="宋体"/>
          <w:color w:val="000000"/>
          <w:kern w:val="0"/>
          <w:sz w:val="24"/>
          <w:szCs w:val="24"/>
        </w:rPr>
        <w:t>第一章谈判邀请中 4.</w:t>
      </w:r>
      <w:r>
        <w:rPr>
          <w:rFonts w:hint="eastAsia" w:ascii="宋体" w:hAnsi="宋体" w:cs="宋体"/>
          <w:color w:val="000000"/>
          <w:kern w:val="0"/>
          <w:sz w:val="24"/>
          <w:szCs w:val="24"/>
          <w:lang w:val="en-US" w:eastAsia="zh-CN"/>
        </w:rPr>
        <w:t>2</w:t>
      </w:r>
      <w:r>
        <w:rPr>
          <w:rFonts w:hint="eastAsia" w:ascii="宋体" w:hAnsi="宋体"/>
          <w:color w:val="000000"/>
          <w:sz w:val="24"/>
          <w:szCs w:val="24"/>
          <w:lang w:val="zh-CN"/>
        </w:rPr>
        <w:t>采购人根据采购项目的特殊要求规定的特定条件</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val="zh-CN"/>
        </w:rPr>
        <w:t>）</w:t>
      </w:r>
      <w:r>
        <w:rPr>
          <w:rFonts w:ascii="宋体"/>
          <w:sz w:val="24"/>
          <w:szCs w:val="24"/>
          <w:lang w:val="zh-CN"/>
        </w:rPr>
        <w:t>★</w:t>
      </w:r>
      <w:r>
        <w:rPr>
          <w:rFonts w:hint="eastAsia" w:ascii="宋体" w:hAnsi="宋体" w:cs="宋体"/>
          <w:color w:val="000000"/>
          <w:kern w:val="0"/>
          <w:sz w:val="24"/>
          <w:szCs w:val="24"/>
          <w:lang w:val="zh-CN"/>
        </w:rPr>
        <w:t>《商务条款偏离表》；</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）合同草案条款</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6</w:t>
      </w:r>
      <w:r>
        <w:rPr>
          <w:rFonts w:hint="eastAsia" w:ascii="宋体" w:hAnsi="宋体"/>
          <w:color w:val="000000"/>
          <w:sz w:val="24"/>
          <w:szCs w:val="24"/>
        </w:rPr>
        <w:t>）供应商认为需要</w:t>
      </w:r>
      <w:r>
        <w:rPr>
          <w:rFonts w:hint="eastAsia" w:ascii="宋体" w:hAnsi="宋体"/>
          <w:color w:val="000000"/>
          <w:kern w:val="0"/>
          <w:sz w:val="24"/>
          <w:szCs w:val="24"/>
          <w:lang w:val="zh-CN"/>
        </w:rPr>
        <w:t>提供的其他资格证明文件和商务资料。</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bCs/>
          <w:sz w:val="24"/>
          <w:szCs w:val="24"/>
          <w:lang w:val="zh-CN"/>
        </w:rPr>
        <w:t xml:space="preserve">7.3 </w:t>
      </w:r>
      <w:r>
        <w:rPr>
          <w:rFonts w:hint="eastAsia" w:ascii="宋体" w:hAnsi="宋体"/>
          <w:b/>
          <w:bCs/>
          <w:sz w:val="24"/>
          <w:szCs w:val="24"/>
          <w:lang w:val="zh-CN"/>
        </w:rPr>
        <w:t>响应文件的技术部分。</w:t>
      </w:r>
      <w:r>
        <w:rPr>
          <w:rFonts w:hint="eastAsia" w:ascii="宋体" w:hAnsi="宋体"/>
          <w:sz w:val="24"/>
          <w:szCs w:val="24"/>
          <w:lang w:val="zh-CN"/>
        </w:rPr>
        <w:t>技术部分是证明</w:t>
      </w:r>
      <w:r>
        <w:rPr>
          <w:rFonts w:hint="eastAsia" w:ascii="宋体" w:hAnsi="宋体"/>
          <w:sz w:val="24"/>
          <w:szCs w:val="24"/>
        </w:rPr>
        <w:t>供应商提供的货物和服务是合格的，并符合谈判文件要求的证明文件，以及</w:t>
      </w:r>
      <w:r>
        <w:rPr>
          <w:rFonts w:hint="eastAsia" w:ascii="宋体" w:hAnsi="宋体"/>
          <w:sz w:val="24"/>
          <w:szCs w:val="24"/>
          <w:lang w:val="zh-CN"/>
        </w:rPr>
        <w:t>对货物和服务的详细说明，这些文件可以是文字资料、图纸和数据等。提供的货物和服务如与谈判文件要求有不符之处，应说明其差别之所在。包括但不限于下列文件，其中加</w:t>
      </w:r>
      <w:r>
        <w:rPr>
          <w:rFonts w:hint="eastAsia" w:ascii="宋体" w:hAnsi="宋体"/>
          <w:sz w:val="24"/>
          <w:szCs w:val="24"/>
        </w:rPr>
        <w:t>“</w:t>
      </w:r>
      <w:r>
        <w:rPr>
          <w:rFonts w:ascii="宋体"/>
          <w:sz w:val="24"/>
          <w:szCs w:val="24"/>
          <w:lang w:val="zh-CN"/>
        </w:rPr>
        <w:t>★</w:t>
      </w:r>
      <w:r>
        <w:rPr>
          <w:rFonts w:hint="eastAsia" w:ascii="宋体" w:hAnsi="宋体"/>
          <w:sz w:val="24"/>
          <w:szCs w:val="24"/>
        </w:rPr>
        <w:t>”</w:t>
      </w:r>
      <w:r>
        <w:rPr>
          <w:rFonts w:hint="eastAsia" w:ascii="宋体" w:hAnsi="宋体"/>
          <w:sz w:val="24"/>
          <w:szCs w:val="24"/>
          <w:lang w:val="zh-CN"/>
        </w:rPr>
        <w:t>项目不得有缺失或无效：</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sz w:val="24"/>
          <w:szCs w:val="24"/>
          <w:lang w:val="zh-CN"/>
        </w:rPr>
      </w:pPr>
      <w:r>
        <w:rPr>
          <w:rFonts w:hint="eastAsia" w:ascii="宋体" w:hAnsi="宋体" w:cs="宋体"/>
          <w:color w:val="000000"/>
          <w:kern w:val="0"/>
          <w:sz w:val="24"/>
          <w:szCs w:val="24"/>
          <w:lang w:val="zh-CN"/>
        </w:rPr>
        <w:t>（1）</w:t>
      </w:r>
      <w:r>
        <w:rPr>
          <w:rFonts w:hint="eastAsia" w:ascii="宋体" w:hAnsi="宋体" w:cs="宋体"/>
          <w:sz w:val="24"/>
          <w:szCs w:val="24"/>
          <w:lang w:val="zh-CN"/>
        </w:rPr>
        <w:t xml:space="preserve">★ </w:t>
      </w:r>
      <w:r>
        <w:rPr>
          <w:rFonts w:hint="eastAsia"/>
          <w:sz w:val="24"/>
          <w:szCs w:val="24"/>
        </w:rPr>
        <w:t>南京市政府采购供应商信用记录表</w:t>
      </w:r>
      <w:r>
        <w:rPr>
          <w:rFonts w:hint="eastAsia" w:ascii="宋体" w:hAnsi="宋体" w:cs="宋体"/>
          <w:color w:val="000000"/>
          <w:sz w:val="24"/>
          <w:szCs w:val="24"/>
          <w:lang w:val="zh-CN"/>
        </w:rPr>
        <w:t>；</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）项目实施方案；</w:t>
      </w:r>
    </w:p>
    <w:p>
      <w:pPr>
        <w:keepNext w:val="0"/>
        <w:keepLines w:val="0"/>
        <w:pageBreakBefore w:val="0"/>
        <w:widowControl/>
        <w:kinsoku/>
        <w:wordWrap/>
        <w:overflowPunct/>
        <w:topLinePunct w:val="0"/>
        <w:bidi w:val="0"/>
        <w:adjustRightInd w:val="0"/>
        <w:spacing w:line="360" w:lineRule="exact"/>
        <w:ind w:firstLine="420"/>
        <w:textAlignment w:val="auto"/>
        <w:rPr>
          <w:rFonts w:hint="eastAsia" w:ascii="宋体" w:hAnsi="宋体" w:cs="宋体"/>
          <w:kern w:val="0"/>
          <w:sz w:val="24"/>
          <w:szCs w:val="24"/>
          <w:lang w:val="zh-CN"/>
        </w:rPr>
      </w:pPr>
      <w:r>
        <w:rPr>
          <w:rFonts w:hint="eastAsia" w:ascii="宋体" w:hAnsi="宋体" w:cs="宋体"/>
          <w:sz w:val="24"/>
          <w:szCs w:val="24"/>
        </w:rPr>
        <w:t>（3）</w:t>
      </w:r>
      <w:r>
        <w:rPr>
          <w:rFonts w:hint="eastAsia" w:ascii="宋体" w:hAnsi="宋体" w:cs="宋体"/>
          <w:kern w:val="0"/>
          <w:sz w:val="24"/>
          <w:szCs w:val="24"/>
          <w:lang w:val="zh-CN"/>
        </w:rPr>
        <w:t>服务承诺；</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sz w:val="24"/>
          <w:szCs w:val="24"/>
        </w:rPr>
      </w:pPr>
      <w:r>
        <w:rPr>
          <w:rFonts w:hint="eastAsia" w:ascii="宋体" w:hAnsi="宋体" w:cs="宋体"/>
          <w:sz w:val="24"/>
          <w:szCs w:val="24"/>
        </w:rPr>
        <w:t>（4）★《技术条款偏离表》</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kern w:val="0"/>
          <w:sz w:val="24"/>
          <w:szCs w:val="24"/>
          <w:lang w:val="zh-CN"/>
        </w:rPr>
      </w:pPr>
      <w:r>
        <w:rPr>
          <w:rFonts w:hint="eastAsia" w:ascii="宋体" w:hAnsi="宋体" w:cs="宋体"/>
          <w:sz w:val="24"/>
          <w:szCs w:val="24"/>
        </w:rPr>
        <w:t>（5）供应商认为需要</w:t>
      </w:r>
      <w:r>
        <w:rPr>
          <w:rFonts w:hint="eastAsia" w:ascii="宋体" w:hAnsi="宋体" w:cs="宋体"/>
          <w:kern w:val="0"/>
          <w:sz w:val="24"/>
          <w:szCs w:val="24"/>
          <w:lang w:val="zh-CN"/>
        </w:rPr>
        <w:t>提供的其他技术资料。</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sz w:val="24"/>
          <w:szCs w:val="24"/>
          <w:lang w:val="zh-CN"/>
        </w:rPr>
        <w:t xml:space="preserve">7.4 </w:t>
      </w:r>
      <w:r>
        <w:rPr>
          <w:rFonts w:hint="eastAsia" w:ascii="宋体" w:hAnsi="宋体"/>
          <w:b/>
          <w:sz w:val="24"/>
          <w:szCs w:val="24"/>
          <w:lang w:val="zh-CN"/>
        </w:rPr>
        <w:t>响应文件的价格部分</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（1）价格部分是对货物和服务价格构成的说明，谈判文件如没有特别说明的话，对每一项货物和服务仅接受一个价格。</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sz w:val="24"/>
          <w:szCs w:val="24"/>
          <w:lang w:val="zh-CN"/>
        </w:rPr>
        <w:t>（4）</w:t>
      </w:r>
      <w:r>
        <w:rPr>
          <w:rFonts w:hint="eastAsia" w:ascii="宋体" w:hAnsi="宋体"/>
          <w:b/>
          <w:sz w:val="24"/>
          <w:szCs w:val="24"/>
          <w:lang w:val="zh-CN"/>
        </w:rPr>
        <w:t>经谈判后，如果成交价高于或低于供应商在响应文件首次报价的，分项报价同比例调整。</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 xml:space="preserve">7.5 </w:t>
      </w:r>
      <w:r>
        <w:rPr>
          <w:rFonts w:hint="eastAsia" w:ascii="宋体" w:hAnsi="宋体"/>
          <w:b/>
          <w:sz w:val="24"/>
          <w:szCs w:val="24"/>
          <w:lang w:val="zh-CN"/>
        </w:rPr>
        <w:t>响应文件的其他部分。</w:t>
      </w:r>
      <w:r>
        <w:rPr>
          <w:rFonts w:hint="eastAsia" w:ascii="宋体" w:hAnsi="宋体"/>
          <w:sz w:val="24"/>
          <w:szCs w:val="24"/>
          <w:lang w:val="zh-CN"/>
        </w:rPr>
        <w:t>其他部分由供应商根据编制响应文件需要提供的其他相关文件。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ascii="宋体" w:hAnsi="宋体"/>
          <w:b/>
          <w:bCs/>
          <w:sz w:val="24"/>
          <w:szCs w:val="24"/>
          <w:lang w:val="zh-CN"/>
        </w:rPr>
      </w:pPr>
      <w:r>
        <w:rPr>
          <w:rFonts w:hint="eastAsia" w:ascii="宋体" w:hAnsi="宋体"/>
          <w:b/>
          <w:bCs/>
          <w:sz w:val="24"/>
          <w:szCs w:val="24"/>
          <w:lang w:val="zh-CN"/>
        </w:rPr>
        <w:t>三、响应文件签署与提交</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b/>
          <w:bCs/>
          <w:sz w:val="24"/>
          <w:szCs w:val="24"/>
        </w:rPr>
        <w:t>8</w:t>
      </w:r>
      <w:r>
        <w:rPr>
          <w:rFonts w:hint="eastAsia" w:ascii="宋体" w:hAnsi="宋体"/>
          <w:b/>
          <w:bCs/>
          <w:sz w:val="24"/>
          <w:szCs w:val="24"/>
          <w:lang w:val="zh-CN"/>
        </w:rPr>
        <w:t>、响应文件签署</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sz w:val="24"/>
          <w:szCs w:val="24"/>
        </w:rPr>
        <w:t>8</w:t>
      </w:r>
      <w:r>
        <w:rPr>
          <w:rFonts w:hint="eastAsia" w:ascii="宋体" w:hAnsi="宋体"/>
          <w:sz w:val="24"/>
          <w:szCs w:val="24"/>
          <w:lang w:val="zh-CN"/>
        </w:rPr>
        <w:t>.1 响应文件应由供应商法定代表人或授权代表签字，并在封口处加盖公章。</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8</w:t>
      </w:r>
      <w:r>
        <w:rPr>
          <w:rFonts w:ascii="宋体" w:hAnsi="宋体"/>
          <w:sz w:val="24"/>
          <w:szCs w:val="24"/>
          <w:lang w:val="zh-CN"/>
        </w:rPr>
        <w:t>.</w:t>
      </w:r>
      <w:r>
        <w:rPr>
          <w:rFonts w:hint="eastAsia" w:ascii="宋体" w:hAnsi="宋体"/>
          <w:sz w:val="24"/>
          <w:szCs w:val="24"/>
          <w:lang w:val="zh-CN"/>
        </w:rPr>
        <w:t>2</w:t>
      </w:r>
      <w:r>
        <w:rPr>
          <w:rFonts w:ascii="宋体" w:hAnsi="宋体"/>
          <w:sz w:val="24"/>
          <w:szCs w:val="24"/>
          <w:lang w:val="zh-CN"/>
        </w:rPr>
        <w:t xml:space="preserve"> </w:t>
      </w:r>
      <w:r>
        <w:rPr>
          <w:rFonts w:hint="eastAsia" w:ascii="宋体" w:hAnsi="宋体"/>
          <w:sz w:val="24"/>
          <w:szCs w:val="24"/>
          <w:lang w:val="zh-CN"/>
        </w:rPr>
        <w:t>供应商应当在谈判文件要求提交响应文件的截止时间前，将响应文件密封送达指定地点。</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Cs/>
          <w:sz w:val="24"/>
          <w:szCs w:val="24"/>
        </w:rPr>
        <w:t>8</w:t>
      </w:r>
      <w:r>
        <w:rPr>
          <w:rFonts w:hint="eastAsia" w:ascii="宋体" w:hAnsi="宋体"/>
          <w:bCs/>
          <w:sz w:val="24"/>
          <w:szCs w:val="24"/>
          <w:lang w:val="zh-CN"/>
        </w:rPr>
        <w:t xml:space="preserve">.3 </w:t>
      </w:r>
      <w:r>
        <w:rPr>
          <w:rFonts w:hint="eastAsia" w:ascii="宋体" w:hAnsi="宋体"/>
          <w:b/>
          <w:bCs/>
          <w:sz w:val="24"/>
          <w:szCs w:val="24"/>
          <w:lang w:val="zh-CN"/>
        </w:rPr>
        <w:t>有下列情形之一的响应文件将拒收：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rPr>
        <w:t>1</w:t>
      </w:r>
      <w:r>
        <w:rPr>
          <w:rFonts w:hint="eastAsia" w:ascii="宋体" w:hAnsi="宋体"/>
          <w:sz w:val="24"/>
          <w:szCs w:val="24"/>
          <w:lang w:val="zh-CN"/>
        </w:rPr>
        <w:t>）在谈判文件要求提交响应文件的截止时间之后送达的等。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w:t>
      </w:r>
      <w:r>
        <w:rPr>
          <w:rFonts w:hint="eastAsia" w:ascii="宋体" w:hAnsi="宋体"/>
          <w:sz w:val="24"/>
          <w:szCs w:val="24"/>
        </w:rPr>
        <w:t>2</w:t>
      </w:r>
      <w:r>
        <w:rPr>
          <w:rFonts w:hint="eastAsia" w:ascii="宋体" w:hAnsi="宋体"/>
          <w:sz w:val="24"/>
          <w:szCs w:val="24"/>
          <w:lang w:val="zh-CN"/>
        </w:rPr>
        <w:t>）未按竞争性谈判邀请规定的份数递交谈判响应文件的。</w:t>
      </w:r>
    </w:p>
    <w:p>
      <w:pPr>
        <w:keepNext w:val="0"/>
        <w:keepLines w:val="0"/>
        <w:pageBreakBefore w:val="0"/>
        <w:kinsoku/>
        <w:wordWrap/>
        <w:overflowPunct/>
        <w:topLinePunct w:val="0"/>
        <w:autoSpaceDE w:val="0"/>
        <w:autoSpaceDN w:val="0"/>
        <w:bidi w:val="0"/>
        <w:adjustRightInd w:val="0"/>
        <w:snapToGrid w:val="0"/>
        <w:spacing w:line="360" w:lineRule="exact"/>
        <w:ind w:firstLine="482" w:firstLineChars="200"/>
        <w:textAlignment w:val="auto"/>
        <w:rPr>
          <w:rFonts w:hint="eastAsia" w:ascii="宋体" w:hAnsi="宋体"/>
          <w:sz w:val="24"/>
          <w:szCs w:val="24"/>
          <w:lang w:val="zh-CN"/>
        </w:rPr>
      </w:pPr>
      <w:r>
        <w:rPr>
          <w:rFonts w:hint="eastAsia" w:ascii="宋体" w:hAnsi="宋体"/>
          <w:b/>
          <w:bCs/>
          <w:sz w:val="24"/>
          <w:szCs w:val="24"/>
          <w:lang w:val="zh-CN"/>
        </w:rPr>
        <w:t>四、谈判</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rPr>
        <w:t>9</w:t>
      </w:r>
      <w:r>
        <w:rPr>
          <w:rFonts w:hint="eastAsia" w:ascii="宋体" w:hAnsi="宋体"/>
          <w:b/>
          <w:bCs/>
          <w:sz w:val="24"/>
          <w:szCs w:val="24"/>
          <w:lang w:val="zh-CN"/>
        </w:rPr>
        <w:t>、谈判组织</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9</w:t>
      </w:r>
      <w:r>
        <w:rPr>
          <w:rFonts w:hint="eastAsia" w:ascii="宋体" w:hAnsi="宋体"/>
          <w:sz w:val="24"/>
          <w:szCs w:val="24"/>
          <w:lang w:val="zh-CN"/>
        </w:rPr>
        <w:t>.1 在提交响应文件时间截止后，溧水区人民医院在规定的时间和地点组织谈判小组分别与供应商进行谈判。</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9</w:t>
      </w:r>
      <w:r>
        <w:rPr>
          <w:rFonts w:hint="eastAsia" w:ascii="宋体" w:hAnsi="宋体"/>
          <w:sz w:val="24"/>
          <w:szCs w:val="24"/>
          <w:lang w:val="zh-CN"/>
        </w:rPr>
        <w:t>.2 谈判工作由溧水区人民医院负责组织，具体谈判事务由依法组建的谈判小组负责。</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b/>
          <w:sz w:val="24"/>
          <w:szCs w:val="24"/>
        </w:rPr>
        <w:t>10</w:t>
      </w:r>
      <w:r>
        <w:rPr>
          <w:rFonts w:hint="eastAsia" w:ascii="宋体" w:hAnsi="宋体"/>
          <w:b/>
          <w:sz w:val="24"/>
          <w:szCs w:val="24"/>
          <w:lang w:val="zh-CN"/>
        </w:rPr>
        <w:t>、谈判程序</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10</w:t>
      </w:r>
      <w:r>
        <w:rPr>
          <w:rFonts w:hint="eastAsia" w:ascii="宋体" w:hAnsi="宋体"/>
          <w:sz w:val="24"/>
          <w:szCs w:val="24"/>
          <w:lang w:val="zh-CN"/>
        </w:rPr>
        <w:t>.1 谈判小组评审供应商所递交的响应性文件，</w:t>
      </w:r>
      <w:r>
        <w:rPr>
          <w:rFonts w:hint="eastAsia"/>
          <w:sz w:val="24"/>
          <w:szCs w:val="24"/>
        </w:rPr>
        <w:t>并根据谈判文件规定的程序、评定成交的标准等事项与实质性响应谈判文件要求的供应商进行谈判。未实质性响应谈判文件的响应文件按无效处理，谈判小组应当告知有关供应商。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10</w:t>
      </w:r>
      <w:r>
        <w:rPr>
          <w:rFonts w:hint="eastAsia" w:ascii="宋体" w:hAnsi="宋体"/>
          <w:sz w:val="24"/>
          <w:szCs w:val="24"/>
          <w:lang w:val="zh-CN"/>
        </w:rPr>
        <w:t>.2 谈判小组所有成员集中与单一供应商分别进行谈判，所有参加谈判的供应商均有同等的谈判机会。</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10</w:t>
      </w:r>
      <w:r>
        <w:rPr>
          <w:rFonts w:hint="eastAsia" w:ascii="宋体" w:hAnsi="宋体"/>
          <w:sz w:val="24"/>
          <w:szCs w:val="24"/>
          <w:lang w:val="zh-CN"/>
        </w:rPr>
        <w:t>.3 谈判过程中，谈判小组根据谈判文件和谈判情况可能实质性变动采购需求中的技术、服务要求以及合同草案条款。实质性变动是谈判文件的有效组成部分，谈判小组将以书面形式通知所有参加谈判的供应商。用“★”加注或特别说明的内容为实质性要求。</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10</w:t>
      </w:r>
      <w:r>
        <w:rPr>
          <w:rFonts w:hint="eastAsia" w:ascii="宋体" w:hAnsi="宋体"/>
          <w:sz w:val="24"/>
          <w:szCs w:val="24"/>
          <w:lang w:val="zh-CN"/>
        </w:rPr>
        <w:t>.4 供应商应当按照谈判文件的变动情况和谈判小组的要求重新提交响应文件，并由其法定代表人或授权代表签字或者加盖公章。</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10</w:t>
      </w:r>
      <w:r>
        <w:rPr>
          <w:rFonts w:hint="eastAsia" w:ascii="宋体" w:hAnsi="宋体"/>
          <w:sz w:val="24"/>
          <w:szCs w:val="24"/>
          <w:lang w:val="zh-CN"/>
        </w:rPr>
        <w:t>.5 谈判结束后，谈判小组将要求所有继续参加谈判的供应商在规定时间内提交最后报价。最后报价由其法定代表人或授权代表签字或者加盖公章，最后报价是供应商响应文件的有效组成部分。</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sz w:val="24"/>
          <w:szCs w:val="24"/>
        </w:rPr>
      </w:pPr>
      <w:r>
        <w:rPr>
          <w:rFonts w:hint="eastAsia" w:ascii="宋体" w:hAnsi="宋体"/>
          <w:sz w:val="24"/>
          <w:szCs w:val="24"/>
        </w:rPr>
        <w:t>10</w:t>
      </w:r>
      <w:r>
        <w:rPr>
          <w:rFonts w:hint="eastAsia" w:ascii="宋体" w:hAnsi="宋体"/>
          <w:sz w:val="24"/>
          <w:szCs w:val="24"/>
          <w:lang w:val="zh-CN"/>
        </w:rPr>
        <w:t>.6</w:t>
      </w:r>
      <w:r>
        <w:rPr>
          <w:rFonts w:hint="eastAsia" w:ascii="宋体" w:hAnsi="宋体"/>
          <w:sz w:val="24"/>
          <w:szCs w:val="24"/>
        </w:rPr>
        <w:t xml:space="preserve"> </w:t>
      </w:r>
      <w:r>
        <w:rPr>
          <w:rFonts w:hint="eastAsia"/>
          <w:sz w:val="24"/>
          <w:szCs w:val="24"/>
        </w:rPr>
        <w:t>已提交响应文件的供应商，在提交最后报价之前，可以根据谈判情况退出谈判。</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b/>
          <w:kern w:val="0"/>
          <w:sz w:val="24"/>
          <w:szCs w:val="24"/>
        </w:rPr>
      </w:pPr>
      <w:r>
        <w:rPr>
          <w:rFonts w:hint="eastAsia" w:ascii="宋体" w:hAnsi="宋体"/>
          <w:sz w:val="24"/>
          <w:szCs w:val="24"/>
        </w:rPr>
        <w:t>10</w:t>
      </w:r>
      <w:r>
        <w:rPr>
          <w:rFonts w:hint="eastAsia" w:ascii="宋体" w:hAnsi="宋体"/>
          <w:sz w:val="24"/>
          <w:szCs w:val="24"/>
          <w:lang w:val="zh-CN"/>
        </w:rPr>
        <w:t>.7 出现下列情形之一的响应文件按照</w:t>
      </w:r>
      <w:r>
        <w:rPr>
          <w:rFonts w:hint="eastAsia" w:ascii="宋体" w:hAnsi="宋体"/>
          <w:b/>
          <w:sz w:val="24"/>
          <w:szCs w:val="24"/>
          <w:lang w:val="zh-CN"/>
        </w:rPr>
        <w:t>无效处理：</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rPr>
      </w:pPr>
      <w:r>
        <w:rPr>
          <w:rFonts w:hint="eastAsia" w:ascii="宋体" w:hAnsi="宋体"/>
          <w:sz w:val="24"/>
          <w:szCs w:val="24"/>
        </w:rPr>
        <w:t>（1）不具备谈判文件中规定资格条件的；</w:t>
      </w: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（2）</w:t>
      </w:r>
      <w:r>
        <w:rPr>
          <w:rFonts w:hint="eastAsia" w:ascii="宋体" w:hAnsi="宋体"/>
          <w:color w:val="000000"/>
          <w:sz w:val="24"/>
          <w:szCs w:val="24"/>
          <w:lang w:val="zh-CN"/>
        </w:rPr>
        <w:t>供应商被</w:t>
      </w:r>
      <w:r>
        <w:rPr>
          <w:rFonts w:hint="eastAsia" w:ascii="宋体" w:hAnsi="宋体"/>
          <w:color w:val="000000"/>
          <w:sz w:val="24"/>
          <w:szCs w:val="24"/>
        </w:rPr>
        <w:t>“</w:t>
      </w:r>
      <w:r>
        <w:rPr>
          <w:rFonts w:hint="eastAsia" w:ascii="宋体" w:hAnsi="宋体"/>
          <w:color w:val="000000"/>
          <w:sz w:val="24"/>
          <w:szCs w:val="24"/>
          <w:lang w:val="zh-CN"/>
        </w:rPr>
        <w:t>信用中国</w:t>
      </w:r>
      <w:r>
        <w:rPr>
          <w:rFonts w:hint="eastAsia" w:ascii="宋体" w:hAnsi="宋体"/>
          <w:color w:val="000000"/>
          <w:sz w:val="24"/>
          <w:szCs w:val="24"/>
        </w:rPr>
        <w:t>”</w:t>
      </w:r>
      <w:r>
        <w:rPr>
          <w:rFonts w:hint="eastAsia" w:ascii="宋体" w:hAnsi="宋体"/>
          <w:color w:val="000000"/>
          <w:sz w:val="24"/>
          <w:szCs w:val="24"/>
          <w:lang w:val="zh-CN"/>
        </w:rPr>
        <w:t>网站</w:t>
      </w:r>
      <w:r>
        <w:rPr>
          <w:rFonts w:hint="eastAsia" w:ascii="宋体" w:hAnsi="宋体"/>
          <w:color w:val="000000"/>
          <w:sz w:val="24"/>
          <w:szCs w:val="24"/>
        </w:rPr>
        <w:t>（www.</w:t>
      </w:r>
      <w:r>
        <w:rPr>
          <w:rFonts w:hint="eastAsia" w:ascii="宋体" w:hAnsi="宋体" w:cs="宋体"/>
          <w:color w:val="000000"/>
          <w:kern w:val="0"/>
          <w:sz w:val="24"/>
          <w:szCs w:val="24"/>
        </w:rPr>
        <w:t>creditchina.gov.cn）</w:t>
      </w:r>
      <w:r>
        <w:rPr>
          <w:rFonts w:hint="eastAsia" w:ascii="宋体" w:hAnsi="宋体"/>
          <w:color w:val="000000"/>
          <w:sz w:val="24"/>
          <w:szCs w:val="24"/>
          <w:lang w:val="zh-CN"/>
        </w:rPr>
        <w:t>、</w:t>
      </w:r>
      <w:r>
        <w:rPr>
          <w:rFonts w:hint="eastAsia" w:ascii="宋体" w:hAnsi="宋体"/>
          <w:color w:val="000000"/>
          <w:sz w:val="24"/>
          <w:szCs w:val="24"/>
        </w:rPr>
        <w:t>“</w:t>
      </w:r>
      <w:r>
        <w:rPr>
          <w:rFonts w:hint="eastAsia" w:ascii="宋体" w:hAnsi="宋体"/>
          <w:color w:val="000000"/>
          <w:sz w:val="24"/>
          <w:szCs w:val="24"/>
          <w:lang w:val="zh-CN"/>
        </w:rPr>
        <w:t>中国政府采购网</w:t>
      </w:r>
      <w:r>
        <w:rPr>
          <w:rFonts w:hint="eastAsia" w:ascii="宋体" w:hAnsi="宋体"/>
          <w:color w:val="000000"/>
          <w:sz w:val="24"/>
          <w:szCs w:val="24"/>
        </w:rPr>
        <w:t>"(www.ccgp.gov.cn)</w:t>
      </w:r>
      <w:r>
        <w:rPr>
          <w:rFonts w:hint="eastAsia" w:ascii="宋体" w:hAnsi="宋体" w:cs="宋体"/>
          <w:color w:val="000000"/>
          <w:kern w:val="0"/>
          <w:sz w:val="24"/>
          <w:szCs w:val="24"/>
          <w:lang w:val="zh-CN"/>
        </w:rPr>
        <w:t>列入失信被执行人、重大税收违法案件当事人名单、政府采购严重违法失信行为记录名单的。</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rPr>
      </w:pPr>
      <w:r>
        <w:rPr>
          <w:rFonts w:hint="eastAsia" w:ascii="宋体" w:hAnsi="宋体"/>
          <w:sz w:val="24"/>
          <w:szCs w:val="24"/>
        </w:rPr>
        <w:t>（3）未实质性响应谈判文件要求的；</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rPr>
      </w:pPr>
      <w:r>
        <w:rPr>
          <w:rFonts w:hint="eastAsia" w:ascii="宋体" w:hAnsi="宋体"/>
          <w:color w:val="000000"/>
          <w:sz w:val="24"/>
          <w:szCs w:val="24"/>
          <w:lang w:val="zh-CN"/>
        </w:rPr>
        <w:t>（</w:t>
      </w:r>
      <w:r>
        <w:rPr>
          <w:rFonts w:hint="eastAsia" w:ascii="宋体" w:hAnsi="宋体"/>
          <w:color w:val="000000"/>
          <w:sz w:val="24"/>
          <w:szCs w:val="24"/>
        </w:rPr>
        <w:t>4</w:t>
      </w:r>
      <w:r>
        <w:rPr>
          <w:rFonts w:hint="eastAsia" w:ascii="宋体" w:hAnsi="宋体"/>
          <w:color w:val="000000"/>
          <w:sz w:val="24"/>
          <w:szCs w:val="24"/>
          <w:lang w:val="zh-CN"/>
        </w:rPr>
        <w:t>）没有逐一说明提供产品</w:t>
      </w:r>
      <w:r>
        <w:rPr>
          <w:rFonts w:hint="eastAsia" w:ascii="宋体" w:hAnsi="宋体"/>
          <w:sz w:val="24"/>
          <w:szCs w:val="24"/>
        </w:rPr>
        <w:t>名称、品牌、规格型号、产地、技术参数和服务响应，</w:t>
      </w:r>
      <w:r>
        <w:rPr>
          <w:rFonts w:hint="eastAsia" w:ascii="宋体" w:hAnsi="宋体"/>
          <w:color w:val="000000"/>
          <w:sz w:val="24"/>
          <w:szCs w:val="24"/>
          <w:lang w:val="zh-CN"/>
        </w:rPr>
        <w:t>而是直接拷贝采购文件技术要求的；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（5）</w:t>
      </w:r>
      <w:r>
        <w:rPr>
          <w:rFonts w:hint="eastAsia" w:ascii="宋体" w:hAnsi="宋体"/>
          <w:color w:val="000000"/>
          <w:sz w:val="24"/>
          <w:szCs w:val="24"/>
          <w:lang w:val="zh-CN"/>
        </w:rPr>
        <w:t>报价低于</w:t>
      </w:r>
      <w:r>
        <w:rPr>
          <w:rFonts w:hint="eastAsia" w:ascii="宋体" w:hAnsi="宋体" w:cs="宋体"/>
          <w:color w:val="000000"/>
          <w:kern w:val="0"/>
          <w:sz w:val="24"/>
          <w:szCs w:val="24"/>
          <w:lang w:val="zh-CN"/>
        </w:rPr>
        <w:t>完成本项目发生的所有含税费用、支付给员工的工资（不得低于供应商所在地最低工资标准）和国家强制缴纳的各种社会保障资金</w:t>
      </w:r>
      <w:r>
        <w:rPr>
          <w:rFonts w:hint="eastAsia" w:ascii="宋体" w:hAnsi="宋体"/>
          <w:bCs/>
          <w:color w:val="000000"/>
          <w:sz w:val="24"/>
          <w:szCs w:val="24"/>
        </w:rPr>
        <w:t>、公积金，以</w:t>
      </w:r>
      <w:r>
        <w:rPr>
          <w:rFonts w:hint="eastAsia" w:ascii="宋体" w:hAnsi="宋体"/>
          <w:color w:val="000000"/>
          <w:sz w:val="24"/>
          <w:szCs w:val="24"/>
        </w:rPr>
        <w:t>及供应商认为需要的其他费用等</w:t>
      </w:r>
      <w:r>
        <w:rPr>
          <w:rFonts w:hint="eastAsia" w:ascii="宋体" w:hAnsi="宋体"/>
          <w:b/>
          <w:color w:val="000000"/>
          <w:sz w:val="24"/>
          <w:szCs w:val="24"/>
        </w:rPr>
        <w:t>。</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（6）</w:t>
      </w:r>
      <w:r>
        <w:rPr>
          <w:rFonts w:hint="eastAsia" w:ascii="宋体" w:hAnsi="宋体"/>
          <w:sz w:val="24"/>
          <w:szCs w:val="24"/>
          <w:lang w:val="zh-CN"/>
        </w:rPr>
        <w:t>不符合法律、法规和采购文件规定的其他实质性要求的。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
          <w:bCs/>
          <w:sz w:val="24"/>
          <w:szCs w:val="24"/>
        </w:rPr>
      </w:pPr>
      <w:r>
        <w:rPr>
          <w:rFonts w:hint="eastAsia" w:ascii="宋体" w:hAnsi="宋体"/>
          <w:sz w:val="24"/>
          <w:szCs w:val="24"/>
        </w:rPr>
        <w:t>10</w:t>
      </w:r>
      <w:r>
        <w:rPr>
          <w:rFonts w:hint="eastAsia" w:ascii="宋体" w:hAnsi="宋体"/>
          <w:sz w:val="24"/>
          <w:szCs w:val="24"/>
          <w:lang w:val="zh-CN"/>
        </w:rPr>
        <w:t xml:space="preserve">.8 </w:t>
      </w:r>
      <w:r>
        <w:rPr>
          <w:rFonts w:hint="eastAsia" w:ascii="宋体" w:hAnsi="宋体"/>
          <w:b/>
          <w:bCs/>
          <w:sz w:val="24"/>
          <w:szCs w:val="24"/>
        </w:rPr>
        <w:t>出现下列情形之一的，谈判终止：</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（1）因情况变化，不再符合规定的竞争性谈判采购方式适用情形的；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（2）所有供应商的响应文件被谈判小组认定为无效的；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（3）出现影响采购公正的违法、违规行为的；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（4）供应商的最终报价超过采购预算的；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Cs/>
          <w:sz w:val="24"/>
          <w:szCs w:val="24"/>
          <w:lang w:val="zh-CN"/>
        </w:rPr>
      </w:pPr>
      <w:r>
        <w:rPr>
          <w:rFonts w:hint="eastAsia" w:ascii="宋体" w:hAnsi="宋体"/>
          <w:bCs/>
          <w:sz w:val="24"/>
          <w:szCs w:val="24"/>
          <w:lang w:val="zh-CN"/>
        </w:rPr>
        <w:t>（5）因重大变故，采购任务取消的；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（6）采购人需求发生重大变化暂时不能确定或供应商提供的货物和服务不能满足需求等。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b/>
          <w:sz w:val="24"/>
          <w:szCs w:val="24"/>
        </w:rPr>
        <w:t>11</w:t>
      </w:r>
      <w:r>
        <w:rPr>
          <w:rFonts w:hint="eastAsia" w:ascii="宋体" w:hAnsi="宋体"/>
          <w:b/>
          <w:sz w:val="24"/>
          <w:szCs w:val="24"/>
          <w:lang w:val="zh-CN"/>
        </w:rPr>
        <w:t>、评定成交标准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11</w:t>
      </w: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 xml:space="preserve"> 成交标准，</w:t>
      </w:r>
      <w:r>
        <w:rPr>
          <w:rFonts w:hint="eastAsia" w:ascii="宋体" w:hAnsi="宋体"/>
          <w:sz w:val="24"/>
          <w:szCs w:val="24"/>
        </w:rPr>
        <w:t>质量和服务均能满足采购文件实质性要求，且报价最低。</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11</w:t>
      </w:r>
      <w:r>
        <w:rPr>
          <w:rFonts w:hint="eastAsia" w:ascii="宋体" w:hAnsi="宋体"/>
          <w:sz w:val="24"/>
          <w:szCs w:val="24"/>
          <w:lang w:val="zh-CN"/>
        </w:rPr>
        <w:t>.2 评定方法，详见第三章。</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rPr>
        <w:t>12</w:t>
      </w:r>
      <w:r>
        <w:rPr>
          <w:rFonts w:hint="eastAsia" w:ascii="宋体" w:hAnsi="宋体"/>
          <w:b/>
          <w:bCs/>
          <w:sz w:val="24"/>
          <w:szCs w:val="24"/>
          <w:lang w:val="zh-CN"/>
        </w:rPr>
        <w:t>、确定成交供应商</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b/>
          <w:kern w:val="0"/>
          <w:sz w:val="24"/>
          <w:szCs w:val="24"/>
        </w:rPr>
      </w:pPr>
      <w:r>
        <w:rPr>
          <w:rFonts w:hint="eastAsia" w:ascii="宋体" w:hAnsi="宋体"/>
          <w:sz w:val="24"/>
          <w:szCs w:val="24"/>
        </w:rPr>
        <w:t>12</w:t>
      </w: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 xml:space="preserve"> 谈判小组对</w:t>
      </w:r>
      <w:r>
        <w:rPr>
          <w:rFonts w:hint="eastAsia" w:ascii="宋体" w:hAnsi="宋体"/>
          <w:sz w:val="24"/>
          <w:szCs w:val="24"/>
        </w:rPr>
        <w:t>质量和货物和服务均能满足采购文件实质性要求的供应商，按评定后的价格由低到高顺序排列。报价相同的，按技术指标和服务标准优劣顺序排列，并</w:t>
      </w:r>
      <w:r>
        <w:rPr>
          <w:rFonts w:hint="eastAsia" w:ascii="宋体" w:hAnsi="宋体"/>
          <w:b/>
          <w:sz w:val="24"/>
          <w:szCs w:val="24"/>
        </w:rPr>
        <w:t>确定价格最低、技术指标和服务标准最优的供应商为成交供应商。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cs="宋体"/>
          <w:sz w:val="24"/>
          <w:szCs w:val="24"/>
          <w:lang w:eastAsia="zh-CN"/>
        </w:rPr>
      </w:pPr>
      <w:r>
        <w:rPr>
          <w:rFonts w:hint="eastAsia" w:ascii="宋体" w:hAnsi="宋体"/>
          <w:color w:val="000000"/>
          <w:sz w:val="24"/>
          <w:szCs w:val="24"/>
        </w:rPr>
        <w:t>12</w:t>
      </w:r>
      <w:r>
        <w:rPr>
          <w:rFonts w:ascii="宋体" w:hAnsi="宋体"/>
          <w:color w:val="000000"/>
          <w:sz w:val="24"/>
          <w:szCs w:val="24"/>
          <w:lang w:val="zh-CN"/>
        </w:rPr>
        <w:t>.</w:t>
      </w:r>
      <w:r>
        <w:rPr>
          <w:rFonts w:hint="eastAsia" w:ascii="宋体" w:hAnsi="宋体"/>
          <w:color w:val="000000"/>
          <w:sz w:val="24"/>
          <w:szCs w:val="24"/>
          <w:lang w:val="zh-CN"/>
        </w:rPr>
        <w:t>2 成交供应商确定后，将</w:t>
      </w:r>
      <w:r>
        <w:rPr>
          <w:rFonts w:hint="eastAsia"/>
          <w:sz w:val="24"/>
          <w:szCs w:val="24"/>
        </w:rPr>
        <w:t>在政府采购信息发布媒</w:t>
      </w:r>
      <w:r>
        <w:rPr>
          <w:rFonts w:hint="eastAsia" w:ascii="宋体" w:hAnsi="宋体" w:cs="宋体"/>
          <w:sz w:val="24"/>
          <w:szCs w:val="24"/>
        </w:rPr>
        <w:t>体上公告</w:t>
      </w:r>
      <w:r>
        <w:rPr>
          <w:rFonts w:hint="eastAsia" w:ascii="宋体" w:hAnsi="宋体" w:cs="宋体"/>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12</w:t>
      </w:r>
      <w:r>
        <w:rPr>
          <w:rFonts w:ascii="宋体" w:hAnsi="宋体"/>
          <w:sz w:val="24"/>
          <w:szCs w:val="24"/>
          <w:lang w:val="zh-CN"/>
        </w:rPr>
        <w:t>.</w:t>
      </w:r>
      <w:r>
        <w:rPr>
          <w:rFonts w:hint="eastAsia" w:ascii="宋体" w:hAnsi="宋体"/>
          <w:sz w:val="24"/>
          <w:szCs w:val="24"/>
          <w:lang w:val="zh-CN"/>
        </w:rPr>
        <w:t>3 成交通知书对采购人和成交供应商具有同等法律效力。</w:t>
      </w:r>
    </w:p>
    <w:p>
      <w:pPr>
        <w:keepNext w:val="0"/>
        <w:keepLines w:val="0"/>
        <w:pageBreakBefore w:val="0"/>
        <w:tabs>
          <w:tab w:val="left" w:pos="1260"/>
        </w:tabs>
        <w:kinsoku/>
        <w:wordWrap/>
        <w:overflowPunct/>
        <w:topLinePunct w:val="0"/>
        <w:bidi w:val="0"/>
        <w:adjustRightInd w:val="0"/>
        <w:snapToGrid w:val="0"/>
        <w:spacing w:line="360" w:lineRule="exact"/>
        <w:ind w:firstLine="480" w:firstLineChars="200"/>
        <w:textAlignment w:val="auto"/>
        <w:rPr>
          <w:rFonts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lang w:eastAsia="zh-CN"/>
        </w:rPr>
        <w:t>溧水区人民医院</w:t>
      </w:r>
      <w:r>
        <w:rPr>
          <w:rFonts w:ascii="宋体" w:hAnsi="宋体"/>
          <w:sz w:val="24"/>
          <w:szCs w:val="24"/>
        </w:rPr>
        <w:t>对未</w:t>
      </w:r>
      <w:r>
        <w:rPr>
          <w:rFonts w:hint="eastAsia" w:ascii="宋体" w:hAnsi="宋体"/>
          <w:sz w:val="24"/>
          <w:szCs w:val="24"/>
        </w:rPr>
        <w:t>成交</w:t>
      </w:r>
      <w:r>
        <w:rPr>
          <w:rFonts w:ascii="宋体" w:hAnsi="宋体"/>
          <w:sz w:val="24"/>
          <w:szCs w:val="24"/>
        </w:rPr>
        <w:t>的</w:t>
      </w:r>
      <w:r>
        <w:rPr>
          <w:rFonts w:hint="eastAsia" w:ascii="宋体" w:hAnsi="宋体"/>
          <w:sz w:val="24"/>
          <w:szCs w:val="24"/>
        </w:rPr>
        <w:t>供应商</w:t>
      </w:r>
      <w:r>
        <w:rPr>
          <w:rFonts w:ascii="宋体" w:hAnsi="宋体"/>
          <w:sz w:val="24"/>
          <w:szCs w:val="24"/>
        </w:rPr>
        <w:t>不作未</w:t>
      </w:r>
      <w:r>
        <w:rPr>
          <w:rFonts w:hint="eastAsia" w:ascii="宋体" w:hAnsi="宋体"/>
          <w:sz w:val="24"/>
          <w:szCs w:val="24"/>
        </w:rPr>
        <w:t>成交</w:t>
      </w:r>
      <w:r>
        <w:rPr>
          <w:rFonts w:ascii="宋体" w:hAnsi="宋体"/>
          <w:sz w:val="24"/>
          <w:szCs w:val="24"/>
        </w:rPr>
        <w:t>原因的解释。</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5</w:t>
      </w:r>
      <w:r>
        <w:rPr>
          <w:rFonts w:ascii="宋体" w:hAnsi="宋体"/>
          <w:sz w:val="24"/>
          <w:szCs w:val="24"/>
        </w:rPr>
        <w:t xml:space="preserve"> 所有</w:t>
      </w:r>
      <w:r>
        <w:rPr>
          <w:rFonts w:hint="eastAsia" w:ascii="宋体" w:hAnsi="宋体"/>
          <w:sz w:val="24"/>
          <w:szCs w:val="24"/>
        </w:rPr>
        <w:t>响应文件</w:t>
      </w:r>
      <w:r>
        <w:rPr>
          <w:rFonts w:ascii="宋体" w:hAnsi="宋体"/>
          <w:sz w:val="24"/>
          <w:szCs w:val="24"/>
        </w:rPr>
        <w:t>都将作为档案保存，不论</w:t>
      </w:r>
      <w:r>
        <w:rPr>
          <w:rFonts w:hint="eastAsia" w:ascii="宋体" w:hAnsi="宋体"/>
          <w:sz w:val="24"/>
          <w:szCs w:val="24"/>
        </w:rPr>
        <w:t>成交</w:t>
      </w:r>
      <w:r>
        <w:rPr>
          <w:rFonts w:ascii="宋体" w:hAnsi="宋体"/>
          <w:sz w:val="24"/>
          <w:szCs w:val="24"/>
        </w:rPr>
        <w:t>与否，</w:t>
      </w:r>
      <w:r>
        <w:rPr>
          <w:rFonts w:hint="eastAsia" w:ascii="宋体" w:hAnsi="宋体"/>
          <w:sz w:val="24"/>
          <w:szCs w:val="24"/>
          <w:lang w:eastAsia="zh-CN"/>
        </w:rPr>
        <w:t>溧水区人民医院</w:t>
      </w:r>
      <w:r>
        <w:rPr>
          <w:rFonts w:ascii="宋体" w:hAnsi="宋体"/>
          <w:sz w:val="24"/>
          <w:szCs w:val="24"/>
        </w:rPr>
        <w:t>均不退回。</w:t>
      </w:r>
    </w:p>
    <w:p>
      <w:pPr>
        <w:keepNext w:val="0"/>
        <w:keepLines w:val="0"/>
        <w:pageBreakBefore w:val="0"/>
        <w:kinsoku/>
        <w:wordWrap/>
        <w:overflowPunct/>
        <w:topLinePunct w:val="0"/>
        <w:autoSpaceDE w:val="0"/>
        <w:autoSpaceDN w:val="0"/>
        <w:bidi w:val="0"/>
        <w:adjustRightInd w:val="0"/>
        <w:snapToGrid w:val="0"/>
        <w:spacing w:line="360" w:lineRule="exact"/>
        <w:ind w:firstLine="472" w:firstLineChars="196"/>
        <w:textAlignment w:val="auto"/>
        <w:rPr>
          <w:rFonts w:hint="eastAsia" w:ascii="宋体" w:hAnsi="宋体"/>
          <w:b/>
          <w:sz w:val="24"/>
          <w:szCs w:val="24"/>
        </w:rPr>
      </w:pPr>
      <w:r>
        <w:rPr>
          <w:rFonts w:hint="eastAsia" w:ascii="宋体" w:hAnsi="宋体"/>
          <w:b/>
          <w:sz w:val="24"/>
          <w:szCs w:val="24"/>
        </w:rPr>
        <w:t>13</w:t>
      </w:r>
      <w:r>
        <w:rPr>
          <w:rFonts w:hint="eastAsia" w:ascii="宋体" w:hAnsi="宋体"/>
          <w:b/>
          <w:bCs/>
          <w:sz w:val="24"/>
          <w:szCs w:val="24"/>
          <w:lang w:val="zh-CN"/>
        </w:rPr>
        <w:t>、</w:t>
      </w:r>
      <w:r>
        <w:rPr>
          <w:rFonts w:ascii="宋体" w:hAnsi="宋体"/>
          <w:b/>
          <w:sz w:val="24"/>
          <w:szCs w:val="24"/>
        </w:rPr>
        <w:t>编写</w:t>
      </w:r>
      <w:r>
        <w:rPr>
          <w:rFonts w:hint="eastAsia" w:ascii="宋体" w:hAnsi="宋体"/>
          <w:b/>
          <w:sz w:val="24"/>
          <w:szCs w:val="24"/>
        </w:rPr>
        <w:t>评审</w:t>
      </w:r>
      <w:r>
        <w:rPr>
          <w:rFonts w:ascii="宋体" w:hAnsi="宋体"/>
          <w:b/>
          <w:sz w:val="24"/>
          <w:szCs w:val="24"/>
        </w:rPr>
        <w:t>报告</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13.1 谈判小组根据谈判过程和</w:t>
      </w:r>
      <w:r>
        <w:rPr>
          <w:rFonts w:ascii="宋体" w:hAnsi="宋体"/>
          <w:sz w:val="24"/>
          <w:szCs w:val="24"/>
        </w:rPr>
        <w:t>结果</w:t>
      </w:r>
      <w:r>
        <w:rPr>
          <w:rFonts w:hint="eastAsia" w:ascii="宋体" w:hAnsi="宋体"/>
          <w:sz w:val="24"/>
          <w:szCs w:val="24"/>
          <w:lang w:eastAsia="zh-CN"/>
        </w:rPr>
        <w:t>编写评审报告、整理汇编</w:t>
      </w:r>
      <w:r>
        <w:rPr>
          <w:rFonts w:hint="eastAsia" w:ascii="宋体" w:hAnsi="宋体"/>
          <w:sz w:val="24"/>
          <w:szCs w:val="24"/>
        </w:rPr>
        <w:t>。</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sz w:val="24"/>
          <w:szCs w:val="24"/>
        </w:rPr>
        <w:t>14</w:t>
      </w:r>
      <w:r>
        <w:rPr>
          <w:rFonts w:hint="eastAsia" w:ascii="宋体" w:hAnsi="宋体"/>
          <w:b/>
          <w:sz w:val="24"/>
          <w:szCs w:val="24"/>
          <w:lang w:val="zh-CN"/>
        </w:rPr>
        <w:t>、</w:t>
      </w:r>
      <w:r>
        <w:rPr>
          <w:rFonts w:hint="eastAsia" w:ascii="宋体" w:hAnsi="宋体"/>
          <w:b/>
          <w:bCs/>
          <w:sz w:val="24"/>
          <w:szCs w:val="24"/>
          <w:lang w:val="zh-CN"/>
        </w:rPr>
        <w:t>签订合同</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14</w:t>
      </w:r>
      <w:r>
        <w:rPr>
          <w:rFonts w:ascii="宋体" w:hAnsi="宋体"/>
          <w:sz w:val="24"/>
          <w:szCs w:val="24"/>
          <w:lang w:val="zh-CN"/>
        </w:rPr>
        <w:t>.</w:t>
      </w:r>
      <w:r>
        <w:rPr>
          <w:rFonts w:hint="eastAsia" w:ascii="宋体" w:hAnsi="宋体"/>
          <w:sz w:val="24"/>
          <w:szCs w:val="24"/>
        </w:rPr>
        <w:t>1 成交供应商应当</w:t>
      </w:r>
      <w:r>
        <w:rPr>
          <w:rFonts w:hint="eastAsia" w:ascii="宋体" w:hAnsi="宋体"/>
          <w:sz w:val="24"/>
          <w:szCs w:val="24"/>
          <w:lang w:val="zh-CN"/>
        </w:rPr>
        <w:t>自成交通知书发出之日起十五日内，</w:t>
      </w:r>
      <w:r>
        <w:rPr>
          <w:rFonts w:hint="eastAsia" w:ascii="宋体" w:hAnsi="宋体"/>
          <w:sz w:val="24"/>
          <w:szCs w:val="24"/>
        </w:rPr>
        <w:t>与采购人签订政府采购合同，所签订的合同不得对采购文件和响应文件作实质性修改。</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14</w:t>
      </w:r>
      <w:r>
        <w:rPr>
          <w:rFonts w:hint="eastAsia" w:ascii="宋体" w:hAnsi="宋体"/>
          <w:sz w:val="24"/>
          <w:szCs w:val="24"/>
          <w:lang w:val="zh-CN"/>
        </w:rPr>
        <w:t xml:space="preserve">.2 </w:t>
      </w:r>
      <w:r>
        <w:rPr>
          <w:rFonts w:hint="eastAsia" w:ascii="宋体" w:hAnsi="宋体"/>
          <w:sz w:val="24"/>
          <w:szCs w:val="24"/>
        </w:rPr>
        <w:t>采购人不得向成交供应商提出任何不合理的要求作为签订合同的条件，不得与成交供应商私下订立背离合同实质性内容的协议。</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rPr>
        <w:t>14</w:t>
      </w:r>
      <w:r>
        <w:rPr>
          <w:rFonts w:ascii="宋体" w:hAnsi="宋体"/>
          <w:sz w:val="24"/>
          <w:szCs w:val="24"/>
          <w:lang w:val="zh-CN"/>
        </w:rPr>
        <w:t>.</w:t>
      </w:r>
      <w:r>
        <w:rPr>
          <w:rFonts w:hint="eastAsia" w:ascii="宋体" w:hAnsi="宋体"/>
          <w:sz w:val="24"/>
          <w:szCs w:val="24"/>
          <w:lang w:val="zh-CN"/>
        </w:rPr>
        <w:t>3</w:t>
      </w:r>
      <w:r>
        <w:rPr>
          <w:rFonts w:hint="eastAsia" w:ascii="宋体" w:hAnsi="宋体"/>
          <w:sz w:val="24"/>
          <w:szCs w:val="24"/>
        </w:rPr>
        <w:t xml:space="preserve"> 除不可抗力等因素外，</w:t>
      </w:r>
      <w:r>
        <w:rPr>
          <w:rFonts w:hint="eastAsia" w:ascii="宋体" w:hAnsi="宋体"/>
          <w:sz w:val="24"/>
          <w:szCs w:val="24"/>
          <w:lang w:val="zh-CN"/>
        </w:rPr>
        <w:t>成交通知书发出后，采购人改变成交结果，或者成交供应商拒绝签订政府采购合同的，应当承担相应的法律责任。</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14</w:t>
      </w:r>
      <w:r>
        <w:rPr>
          <w:rFonts w:hint="eastAsia" w:ascii="宋体" w:hAnsi="宋体"/>
          <w:sz w:val="24"/>
          <w:szCs w:val="24"/>
          <w:lang w:val="zh-CN"/>
        </w:rPr>
        <w:t>.4 成交供应商除发生法律规定的</w:t>
      </w:r>
      <w:r>
        <w:rPr>
          <w:rFonts w:ascii="宋体" w:hAnsi="宋体"/>
          <w:sz w:val="24"/>
          <w:szCs w:val="24"/>
          <w:lang w:val="zh-CN"/>
        </w:rPr>
        <w:t>不能预见、不能避免并不能克服的客观情况</w:t>
      </w:r>
      <w:r>
        <w:rPr>
          <w:rFonts w:hint="eastAsia" w:ascii="宋体" w:hAnsi="宋体"/>
          <w:sz w:val="24"/>
          <w:szCs w:val="24"/>
          <w:lang w:val="zh-CN"/>
        </w:rPr>
        <w:t>外不得放弃或拒绝签订合同的。放弃或拒绝签订合同的，财政部门视情将其列入不良行为名单，在一至三年内不得参加南京市政府采购活动。</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rPr>
        <w:t>14</w:t>
      </w:r>
      <w:r>
        <w:rPr>
          <w:rFonts w:ascii="宋体" w:hAnsi="宋体"/>
          <w:sz w:val="24"/>
          <w:szCs w:val="24"/>
          <w:lang w:val="zh-CN"/>
        </w:rPr>
        <w:t>.</w:t>
      </w:r>
      <w:r>
        <w:rPr>
          <w:rFonts w:hint="eastAsia" w:ascii="宋体" w:hAnsi="宋体"/>
          <w:sz w:val="24"/>
          <w:szCs w:val="24"/>
          <w:lang w:val="zh-CN"/>
        </w:rPr>
        <w:t>5</w:t>
      </w:r>
      <w:r>
        <w:rPr>
          <w:rFonts w:hint="eastAsia" w:ascii="宋体" w:hAnsi="宋体"/>
          <w:sz w:val="24"/>
          <w:szCs w:val="24"/>
        </w:rPr>
        <w:t xml:space="preserve"> </w:t>
      </w:r>
      <w:r>
        <w:rPr>
          <w:rFonts w:hint="eastAsia" w:ascii="宋体" w:hAnsi="宋体"/>
          <w:sz w:val="24"/>
          <w:szCs w:val="24"/>
          <w:lang w:val="zh-CN"/>
        </w:rPr>
        <w:t>成交供应商拒绝签订政府采购合同的，</w:t>
      </w:r>
      <w:r>
        <w:rPr>
          <w:rFonts w:hint="eastAsia"/>
          <w:sz w:val="24"/>
          <w:szCs w:val="24"/>
        </w:rPr>
        <w:t>或因不可抗力或者自身原因不能履行政府采购合同的，</w:t>
      </w:r>
      <w:r>
        <w:rPr>
          <w:rFonts w:hint="eastAsia" w:ascii="宋体" w:hAnsi="宋体"/>
          <w:sz w:val="24"/>
          <w:szCs w:val="24"/>
          <w:lang w:val="zh-CN"/>
        </w:rPr>
        <w:t>采购人可以视情与排位在成交供应商之后第一位的成交候选供应商签订政府采购合同，也可以重新开展采购活动。</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14</w:t>
      </w:r>
      <w:r>
        <w:rPr>
          <w:rFonts w:hint="eastAsia" w:ascii="宋体" w:hAnsi="宋体"/>
          <w:sz w:val="24"/>
          <w:szCs w:val="24"/>
          <w:lang w:val="zh-CN"/>
        </w:rPr>
        <w:t>.6 政府采购合同履行中，采购人需追加与合同标的相同的服务的，在不改变合同其他条款的前提下，可以与供应商协商签订补充合同，但所有补充合同的采购金额不得超过原合同采购金额的百分之十。</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ascii="宋体" w:hAnsi="宋体"/>
          <w:b/>
          <w:bCs/>
          <w:sz w:val="24"/>
          <w:szCs w:val="24"/>
          <w:lang w:val="zh-CN"/>
        </w:rPr>
      </w:pPr>
      <w:r>
        <w:rPr>
          <w:rFonts w:hint="eastAsia" w:ascii="宋体" w:hAnsi="宋体"/>
          <w:b/>
          <w:bCs/>
          <w:sz w:val="24"/>
          <w:szCs w:val="24"/>
          <w:lang w:val="zh-CN"/>
        </w:rPr>
        <w:t>六、询问、质疑、投诉和诚实信用</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rPr>
        <w:t>15</w:t>
      </w:r>
      <w:r>
        <w:rPr>
          <w:rFonts w:hint="eastAsia" w:ascii="宋体" w:hAnsi="宋体"/>
          <w:b/>
          <w:bCs/>
          <w:sz w:val="24"/>
          <w:szCs w:val="24"/>
          <w:lang w:val="zh-CN"/>
        </w:rPr>
        <w:t>、询问</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cs="宋体"/>
          <w:b/>
          <w:color w:val="000000"/>
          <w:sz w:val="24"/>
          <w:szCs w:val="24"/>
          <w:lang w:val="zh-CN"/>
        </w:rPr>
      </w:pPr>
      <w:r>
        <w:rPr>
          <w:rFonts w:hint="eastAsia" w:ascii="宋体" w:hAnsi="宋体"/>
          <w:color w:val="000000"/>
          <w:sz w:val="24"/>
          <w:szCs w:val="24"/>
        </w:rPr>
        <w:t>15</w:t>
      </w:r>
      <w:r>
        <w:rPr>
          <w:rFonts w:ascii="宋体" w:hAnsi="宋体"/>
          <w:color w:val="000000"/>
          <w:sz w:val="24"/>
          <w:szCs w:val="24"/>
          <w:lang w:val="zh-CN"/>
        </w:rPr>
        <w:t>.1</w:t>
      </w:r>
      <w:r>
        <w:rPr>
          <w:rFonts w:hint="eastAsia" w:ascii="宋体" w:hAnsi="宋体"/>
          <w:color w:val="000000"/>
          <w:sz w:val="24"/>
          <w:szCs w:val="24"/>
          <w:lang w:val="zh-CN"/>
        </w:rPr>
        <w:t xml:space="preserve"> 供应商对采购活动事项有疑问的，可以向采购人或溧水区人民医院提出询问，</w:t>
      </w:r>
      <w:r>
        <w:rPr>
          <w:rFonts w:hint="eastAsia" w:ascii="宋体" w:hAnsi="宋体" w:cs="宋体"/>
          <w:color w:val="000000"/>
          <w:sz w:val="24"/>
          <w:szCs w:val="24"/>
          <w:lang w:val="zh-CN"/>
        </w:rPr>
        <w:t>采购人将依法作出答复，但答复的内容不涉及商业秘密</w:t>
      </w:r>
      <w:r>
        <w:rPr>
          <w:rFonts w:hint="eastAsia" w:ascii="宋体" w:hAnsi="宋体" w:cs="宋体"/>
          <w:b/>
          <w:color w:val="000000"/>
          <w:sz w:val="24"/>
          <w:szCs w:val="24"/>
          <w:lang w:val="zh-CN"/>
        </w:rPr>
        <w:t>。</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b/>
          <w:color w:val="000000"/>
          <w:sz w:val="24"/>
          <w:szCs w:val="24"/>
          <w:lang w:val="zh-CN"/>
        </w:rPr>
      </w:pPr>
      <w:r>
        <w:rPr>
          <w:rFonts w:hint="eastAsia" w:ascii="宋体" w:hAnsi="宋体"/>
          <w:b/>
          <w:color w:val="000000"/>
          <w:sz w:val="24"/>
          <w:szCs w:val="24"/>
        </w:rPr>
        <w:t>16</w:t>
      </w:r>
      <w:r>
        <w:rPr>
          <w:rFonts w:hint="eastAsia" w:ascii="宋体" w:hAnsi="宋体"/>
          <w:b/>
          <w:color w:val="000000"/>
          <w:sz w:val="24"/>
          <w:szCs w:val="24"/>
          <w:lang w:val="zh-CN"/>
        </w:rPr>
        <w:t>、质疑</w:t>
      </w:r>
    </w:p>
    <w:p>
      <w:pPr>
        <w:keepNext w:val="0"/>
        <w:keepLines w:val="0"/>
        <w:pageBreakBefore w:val="0"/>
        <w:kinsoku/>
        <w:wordWrap/>
        <w:overflowPunct/>
        <w:topLinePunct w:val="0"/>
        <w:bidi w:val="0"/>
        <w:snapToGrid w:val="0"/>
        <w:spacing w:line="360" w:lineRule="exact"/>
        <w:ind w:firstLine="468" w:firstLineChars="195"/>
        <w:textAlignment w:val="auto"/>
        <w:rPr>
          <w:rFonts w:hint="eastAsia" w:ascii="宋体" w:hAnsi="宋体"/>
          <w:sz w:val="24"/>
          <w:szCs w:val="24"/>
          <w:lang w:val="zh-CN"/>
        </w:rPr>
      </w:pPr>
      <w:r>
        <w:rPr>
          <w:rFonts w:hint="eastAsia" w:ascii="宋体" w:hAnsi="宋体"/>
          <w:color w:val="000000"/>
          <w:sz w:val="24"/>
          <w:szCs w:val="24"/>
        </w:rPr>
        <w:t>16</w:t>
      </w:r>
      <w:r>
        <w:rPr>
          <w:rFonts w:ascii="宋体" w:hAnsi="宋体"/>
          <w:color w:val="000000"/>
          <w:sz w:val="24"/>
          <w:szCs w:val="24"/>
          <w:lang w:val="zh-CN"/>
        </w:rPr>
        <w:t>.</w:t>
      </w:r>
      <w:r>
        <w:rPr>
          <w:rFonts w:hint="eastAsia" w:ascii="宋体" w:hAnsi="宋体"/>
          <w:color w:val="000000"/>
          <w:sz w:val="24"/>
          <w:szCs w:val="24"/>
          <w:lang w:val="zh-CN"/>
        </w:rPr>
        <w:t>1</w:t>
      </w:r>
      <w:r>
        <w:rPr>
          <w:rFonts w:hint="eastAsia" w:ascii="宋体" w:hAnsi="宋体"/>
          <w:color w:val="000000"/>
          <w:sz w:val="24"/>
          <w:szCs w:val="24"/>
        </w:rPr>
        <w:t xml:space="preserve"> </w:t>
      </w:r>
      <w:r>
        <w:rPr>
          <w:rFonts w:ascii="宋体" w:hAnsi="宋体"/>
          <w:sz w:val="24"/>
          <w:szCs w:val="24"/>
          <w:lang w:val="zh-CN"/>
        </w:rPr>
        <w:t>质疑供应商是指直接参加本次</w:t>
      </w:r>
      <w:r>
        <w:rPr>
          <w:rFonts w:hint="eastAsia" w:ascii="宋体" w:hAnsi="宋体"/>
          <w:sz w:val="24"/>
          <w:szCs w:val="24"/>
          <w:lang w:val="zh-CN"/>
        </w:rPr>
        <w:t>采购</w:t>
      </w:r>
      <w:r>
        <w:rPr>
          <w:rFonts w:ascii="宋体" w:hAnsi="宋体"/>
          <w:sz w:val="24"/>
          <w:szCs w:val="24"/>
          <w:lang w:val="zh-CN"/>
        </w:rPr>
        <w:t>活动的供应商</w:t>
      </w:r>
      <w:r>
        <w:rPr>
          <w:rFonts w:hint="eastAsia" w:ascii="宋体" w:hAnsi="宋体"/>
          <w:sz w:val="24"/>
          <w:szCs w:val="24"/>
          <w:lang w:val="zh-CN"/>
        </w:rPr>
        <w:t>，未参加采购活动的供应商或在采购活动中自身权益未受到损害的供应商所提出的质疑不予受理。</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rPr>
        <w:t>16</w:t>
      </w:r>
      <w:r>
        <w:rPr>
          <w:rFonts w:hint="eastAsia" w:ascii="宋体" w:hAnsi="宋体"/>
          <w:color w:val="000000"/>
          <w:sz w:val="24"/>
          <w:szCs w:val="24"/>
          <w:lang w:val="zh-CN"/>
        </w:rPr>
        <w:t>.2 供应商认为采购文件、采购过程和成交结果使自己的合法权益受到损害的，可以在知道或者应当知道其权益受到损害之日起七个工作日内，</w:t>
      </w:r>
      <w:r>
        <w:rPr>
          <w:rFonts w:hint="eastAsia" w:ascii="宋体" w:hAnsi="宋体" w:cs="宋体"/>
          <w:sz w:val="24"/>
          <w:szCs w:val="24"/>
          <w:lang w:val="zh-CN"/>
        </w:rPr>
        <w:t>将质疑文件原件以书面形式送达采购人或</w:t>
      </w:r>
      <w:r>
        <w:rPr>
          <w:rFonts w:hint="eastAsia" w:ascii="宋体" w:hAnsi="宋体" w:cs="宋体"/>
          <w:color w:val="000000"/>
          <w:kern w:val="0"/>
          <w:sz w:val="24"/>
          <w:szCs w:val="24"/>
          <w:lang w:val="zh-CN"/>
        </w:rPr>
        <w:t>溧水区人民医院</w:t>
      </w:r>
      <w:r>
        <w:rPr>
          <w:rFonts w:hint="eastAsia" w:ascii="宋体" w:hAnsi="宋体" w:cs="宋体"/>
          <w:sz w:val="24"/>
          <w:szCs w:val="24"/>
          <w:lang w:val="zh-CN"/>
        </w:rPr>
        <w:t>。</w:t>
      </w:r>
    </w:p>
    <w:p>
      <w:pPr>
        <w:keepNext w:val="0"/>
        <w:keepLines w:val="0"/>
        <w:pageBreakBefore w:val="0"/>
        <w:kinsoku/>
        <w:wordWrap/>
        <w:overflowPunct/>
        <w:topLinePunct w:val="0"/>
        <w:bidi w:val="0"/>
        <w:snapToGrid w:val="0"/>
        <w:spacing w:line="360" w:lineRule="exact"/>
        <w:ind w:firstLine="420"/>
        <w:textAlignment w:val="auto"/>
        <w:rPr>
          <w:rFonts w:hint="eastAsia" w:ascii="宋体" w:hAnsi="宋体"/>
          <w:sz w:val="24"/>
          <w:szCs w:val="24"/>
          <w:lang w:val="zh-CN"/>
        </w:rPr>
      </w:pPr>
      <w:r>
        <w:rPr>
          <w:rFonts w:hint="eastAsia" w:ascii="宋体" w:hAnsi="宋体"/>
          <w:color w:val="000000"/>
          <w:sz w:val="24"/>
          <w:szCs w:val="24"/>
        </w:rPr>
        <w:t>16</w:t>
      </w:r>
      <w:r>
        <w:rPr>
          <w:rFonts w:hint="eastAsia" w:ascii="宋体" w:hAnsi="宋体"/>
          <w:color w:val="000000"/>
          <w:sz w:val="24"/>
          <w:szCs w:val="24"/>
          <w:lang w:val="zh-CN"/>
        </w:rPr>
        <w:t>.3</w:t>
      </w:r>
      <w:r>
        <w:rPr>
          <w:rFonts w:hint="eastAsia" w:ascii="宋体" w:hAnsi="宋体"/>
          <w:color w:val="000000"/>
          <w:sz w:val="24"/>
          <w:szCs w:val="24"/>
        </w:rPr>
        <w:t xml:space="preserve"> </w:t>
      </w:r>
      <w:r>
        <w:rPr>
          <w:rFonts w:hint="eastAsia" w:ascii="宋体" w:hAnsi="宋体"/>
          <w:sz w:val="24"/>
          <w:szCs w:val="24"/>
          <w:lang w:val="zh-CN"/>
        </w:rPr>
        <w:t>上述应知其权益受到损害之日是指：</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lang w:val="zh-CN"/>
        </w:rPr>
        <w:t>（1）</w:t>
      </w:r>
      <w:r>
        <w:rPr>
          <w:rFonts w:ascii="宋体" w:hAnsi="宋体"/>
          <w:sz w:val="24"/>
          <w:szCs w:val="24"/>
          <w:lang w:val="zh-CN"/>
        </w:rPr>
        <w:t>对</w:t>
      </w:r>
      <w:r>
        <w:rPr>
          <w:rFonts w:hint="eastAsia" w:ascii="宋体" w:hAnsi="宋体"/>
          <w:sz w:val="24"/>
          <w:szCs w:val="24"/>
          <w:lang w:val="zh-CN"/>
        </w:rPr>
        <w:t>谈判</w:t>
      </w:r>
      <w:r>
        <w:rPr>
          <w:rFonts w:ascii="宋体" w:hAnsi="宋体"/>
          <w:sz w:val="24"/>
          <w:szCs w:val="24"/>
          <w:lang w:val="zh-CN"/>
        </w:rPr>
        <w:t>文件提出质疑的，为</w:t>
      </w:r>
      <w:r>
        <w:rPr>
          <w:rFonts w:hint="eastAsia" w:ascii="宋体" w:hAnsi="宋体"/>
          <w:sz w:val="24"/>
          <w:szCs w:val="24"/>
          <w:lang w:val="zh-CN"/>
        </w:rPr>
        <w:t>谈判</w:t>
      </w:r>
      <w:r>
        <w:rPr>
          <w:rFonts w:ascii="宋体" w:hAnsi="宋体"/>
          <w:sz w:val="24"/>
          <w:szCs w:val="24"/>
          <w:lang w:val="zh-CN"/>
        </w:rPr>
        <w:t>文件公告期限届满之日起计算；</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lang w:val="zh-CN"/>
        </w:rPr>
        <w:t>（2）</w:t>
      </w:r>
      <w:r>
        <w:rPr>
          <w:rFonts w:ascii="宋体" w:hAnsi="宋体"/>
          <w:sz w:val="24"/>
          <w:szCs w:val="24"/>
          <w:lang w:val="zh-CN"/>
        </w:rPr>
        <w:t>对采购过程提出质疑的，自采购程序环节结束之日起计算；</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lang w:val="zh-CN"/>
        </w:rPr>
        <w:t>（3）</w:t>
      </w:r>
      <w:r>
        <w:rPr>
          <w:rFonts w:ascii="宋体" w:hAnsi="宋体"/>
          <w:sz w:val="24"/>
          <w:szCs w:val="24"/>
          <w:lang w:val="zh-CN"/>
        </w:rPr>
        <w:t>对</w:t>
      </w:r>
      <w:r>
        <w:rPr>
          <w:rFonts w:hint="eastAsia" w:ascii="宋体" w:hAnsi="宋体"/>
          <w:sz w:val="24"/>
          <w:szCs w:val="24"/>
          <w:lang w:val="zh-CN"/>
        </w:rPr>
        <w:t>成交</w:t>
      </w:r>
      <w:r>
        <w:rPr>
          <w:rFonts w:ascii="宋体" w:hAnsi="宋体"/>
          <w:sz w:val="24"/>
          <w:szCs w:val="24"/>
          <w:lang w:val="zh-CN"/>
        </w:rPr>
        <w:t>结果提出质疑的，自</w:t>
      </w:r>
      <w:r>
        <w:rPr>
          <w:rFonts w:hint="eastAsia" w:ascii="宋体" w:hAnsi="宋体"/>
          <w:sz w:val="24"/>
          <w:szCs w:val="24"/>
          <w:lang w:val="zh-CN"/>
        </w:rPr>
        <w:t>成交</w:t>
      </w:r>
      <w:r>
        <w:rPr>
          <w:rFonts w:ascii="宋体" w:hAnsi="宋体"/>
          <w:sz w:val="24"/>
          <w:szCs w:val="24"/>
          <w:lang w:val="zh-CN"/>
        </w:rPr>
        <w:t>结果公告期限届满之日起计算。</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仿宋_GB2312" w:eastAsia="仿宋_GB2312" w:cs="Tahoma"/>
          <w:snapToGrid w:val="0"/>
          <w:color w:val="000000"/>
          <w:sz w:val="24"/>
          <w:szCs w:val="24"/>
        </w:rPr>
      </w:pPr>
      <w:r>
        <w:rPr>
          <w:rFonts w:hint="eastAsia" w:ascii="宋体" w:hAnsi="宋体"/>
          <w:color w:val="000000"/>
          <w:sz w:val="24"/>
          <w:szCs w:val="24"/>
        </w:rPr>
        <w:t>16</w:t>
      </w:r>
      <w:r>
        <w:rPr>
          <w:rFonts w:hint="eastAsia" w:ascii="宋体" w:hAnsi="宋体"/>
          <w:color w:val="000000"/>
          <w:sz w:val="24"/>
          <w:szCs w:val="24"/>
          <w:lang w:val="zh-CN"/>
        </w:rPr>
        <w:t>.4 质疑文件应包括以下主要内容，并</w:t>
      </w:r>
      <w:r>
        <w:rPr>
          <w:rFonts w:hint="eastAsia" w:ascii="宋体" w:hAnsi="宋体"/>
          <w:color w:val="000000"/>
          <w:sz w:val="24"/>
          <w:szCs w:val="24"/>
        </w:rPr>
        <w:t>按照</w:t>
      </w:r>
      <w:r>
        <w:rPr>
          <w:rFonts w:ascii="宋体" w:hAnsi="宋体"/>
          <w:color w:val="000000"/>
          <w:sz w:val="24"/>
          <w:szCs w:val="24"/>
        </w:rPr>
        <w:t>“</w:t>
      </w:r>
      <w:r>
        <w:rPr>
          <w:rFonts w:hint="eastAsia" w:ascii="宋体" w:hAnsi="宋体"/>
          <w:color w:val="000000"/>
          <w:sz w:val="24"/>
          <w:szCs w:val="24"/>
        </w:rPr>
        <w:t>谁主张、谁举证</w:t>
      </w:r>
      <w:r>
        <w:rPr>
          <w:rFonts w:ascii="宋体" w:hAnsi="宋体"/>
          <w:color w:val="000000"/>
          <w:sz w:val="24"/>
          <w:szCs w:val="24"/>
        </w:rPr>
        <w:t>”</w:t>
      </w:r>
      <w:r>
        <w:rPr>
          <w:rFonts w:hint="eastAsia" w:ascii="宋体" w:hAnsi="宋体"/>
          <w:color w:val="000000"/>
          <w:sz w:val="24"/>
          <w:szCs w:val="24"/>
        </w:rPr>
        <w:t>的原则，附上相关证明材料。否则，采购人或</w:t>
      </w:r>
      <w:r>
        <w:rPr>
          <w:rFonts w:hint="eastAsia" w:ascii="宋体" w:hAnsi="宋体"/>
          <w:color w:val="000000"/>
          <w:sz w:val="24"/>
          <w:szCs w:val="24"/>
          <w:lang w:eastAsia="zh-CN"/>
        </w:rPr>
        <w:t>溧水区人民医院</w:t>
      </w:r>
      <w:r>
        <w:rPr>
          <w:rFonts w:hint="eastAsia" w:ascii="宋体" w:hAnsi="宋体"/>
          <w:color w:val="000000"/>
          <w:sz w:val="24"/>
          <w:szCs w:val="24"/>
        </w:rPr>
        <w:t>所不予受理：</w:t>
      </w:r>
    </w:p>
    <w:p>
      <w:pPr>
        <w:keepNext w:val="0"/>
        <w:keepLines w:val="0"/>
        <w:pageBreakBefore w:val="0"/>
        <w:kinsoku/>
        <w:wordWrap/>
        <w:overflowPunct/>
        <w:topLinePunct w:val="0"/>
        <w:autoSpaceDE w:val="0"/>
        <w:autoSpaceDN w:val="0"/>
        <w:bidi w:val="0"/>
        <w:adjustRightInd w:val="0"/>
        <w:spacing w:line="360" w:lineRule="exact"/>
        <w:ind w:left="420" w:leftChars="200"/>
        <w:textAlignment w:val="auto"/>
        <w:rPr>
          <w:rFonts w:hint="eastAsia" w:ascii="宋体" w:hAnsi="宋体"/>
          <w:color w:val="000000"/>
          <w:sz w:val="24"/>
          <w:szCs w:val="24"/>
          <w:lang w:val="zh-CN"/>
        </w:rPr>
      </w:pPr>
      <w:r>
        <w:rPr>
          <w:rFonts w:hint="eastAsia" w:ascii="宋体" w:hAnsi="宋体"/>
          <w:color w:val="000000"/>
          <w:sz w:val="24"/>
          <w:szCs w:val="24"/>
        </w:rPr>
        <w:t>（1）质疑项目名称、项目编号、包号、采购公告发布时间、谈判时间；</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lang w:val="zh-CN"/>
        </w:rPr>
        <w:t>（2）提起质疑的日期、具体的质疑事项及事实根据（具体条款）；</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lang w:val="zh-CN"/>
        </w:rPr>
        <w:t>（3）认为自己合法权益受到损害或可能受到损害的相关证据材料。</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lang w:val="zh-CN"/>
        </w:rPr>
        <w:t>（4）质疑供应商名称、地址、邮编、联系人、联系电话</w:t>
      </w:r>
      <w:r>
        <w:rPr>
          <w:rFonts w:hint="eastAsia" w:ascii="宋体" w:hAnsi="宋体"/>
          <w:color w:val="000000"/>
          <w:sz w:val="24"/>
          <w:szCs w:val="24"/>
        </w:rPr>
        <w:t>（包括座机、手机、传真号码等）</w:t>
      </w:r>
      <w:r>
        <w:rPr>
          <w:rFonts w:hint="eastAsia" w:ascii="宋体" w:hAnsi="宋体"/>
          <w:color w:val="000000"/>
          <w:sz w:val="24"/>
          <w:szCs w:val="24"/>
          <w:lang w:val="zh-CN"/>
        </w:rPr>
        <w:t>；</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color w:val="000000"/>
          <w:sz w:val="24"/>
          <w:szCs w:val="24"/>
          <w:lang w:val="zh-CN"/>
        </w:rPr>
      </w:pPr>
      <w:r>
        <w:rPr>
          <w:rFonts w:hint="eastAsia" w:ascii="宋体" w:hAnsi="宋体"/>
          <w:color w:val="000000"/>
          <w:sz w:val="24"/>
          <w:szCs w:val="24"/>
          <w:lang w:val="zh-CN"/>
        </w:rPr>
        <w:t>（5）</w:t>
      </w:r>
      <w:r>
        <w:rPr>
          <w:rFonts w:hint="eastAsia" w:ascii="宋体"/>
          <w:color w:val="000000"/>
          <w:sz w:val="24"/>
          <w:szCs w:val="24"/>
          <w:lang w:val="zh-CN"/>
        </w:rPr>
        <w:t>质疑函应当署名，质疑人为自然人的，应当由本人签字并附有效身份证明；质疑人为法人或其他组织的，应当由法定代表人签字并加盖单位公章。</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rPr>
      </w:pPr>
      <w:r>
        <w:rPr>
          <w:rFonts w:hint="eastAsia" w:ascii="宋体"/>
          <w:color w:val="000000"/>
          <w:sz w:val="24"/>
          <w:szCs w:val="24"/>
          <w:lang w:val="zh-CN"/>
        </w:rPr>
        <w:t>（6）供应商委托代理质疑的，应当提交授权委托书，并载明委托代理的具体权限和事项。</w:t>
      </w:r>
    </w:p>
    <w:p>
      <w:pPr>
        <w:keepNext w:val="0"/>
        <w:keepLines w:val="0"/>
        <w:pageBreakBefore w:val="0"/>
        <w:kinsoku/>
        <w:wordWrap/>
        <w:overflowPunct/>
        <w:topLinePunct w:val="0"/>
        <w:bidi w:val="0"/>
        <w:spacing w:line="360" w:lineRule="exact"/>
        <w:ind w:firstLine="480" w:firstLineChars="200"/>
        <w:textAlignment w:val="auto"/>
        <w:rPr>
          <w:rFonts w:ascii="宋体" w:hAnsi="宋体"/>
          <w:color w:val="000000"/>
          <w:sz w:val="24"/>
          <w:szCs w:val="24"/>
          <w:lang w:val="zh-CN"/>
        </w:rPr>
      </w:pPr>
      <w:r>
        <w:rPr>
          <w:rFonts w:hint="eastAsia" w:ascii="宋体" w:hAnsi="宋体"/>
          <w:color w:val="000000"/>
          <w:sz w:val="24"/>
          <w:szCs w:val="24"/>
        </w:rPr>
        <w:t>16.5 采购人或</w:t>
      </w:r>
      <w:r>
        <w:rPr>
          <w:rFonts w:hint="eastAsia" w:ascii="宋体" w:hAnsi="宋体"/>
          <w:color w:val="000000"/>
          <w:sz w:val="24"/>
          <w:szCs w:val="24"/>
          <w:lang w:val="zh-CN"/>
        </w:rPr>
        <w:t>溧水区人民医院</w:t>
      </w:r>
      <w:r>
        <w:rPr>
          <w:rFonts w:hint="eastAsia" w:ascii="宋体" w:hAnsi="宋体"/>
          <w:color w:val="000000"/>
          <w:sz w:val="24"/>
          <w:szCs w:val="24"/>
        </w:rPr>
        <w:t>在收到供应商的书面质疑后将及时组织调查核实，在</w:t>
      </w:r>
      <w:r>
        <w:rPr>
          <w:rFonts w:hint="eastAsia" w:ascii="宋体" w:hAnsi="宋体"/>
          <w:b/>
          <w:bCs/>
          <w:color w:val="000000"/>
          <w:sz w:val="24"/>
          <w:szCs w:val="24"/>
          <w:lang w:val="zh-CN"/>
        </w:rPr>
        <w:t>七个工作日内</w:t>
      </w:r>
      <w:r>
        <w:rPr>
          <w:rFonts w:hint="eastAsia" w:ascii="宋体" w:hAnsi="宋体"/>
          <w:color w:val="000000"/>
          <w:sz w:val="24"/>
          <w:szCs w:val="24"/>
          <w:lang w:val="zh-CN"/>
        </w:rPr>
        <w:t>作出答复，并以书面通知质疑供应商和其他有关供应商，答复的内容不涉及商业秘密。采购人或溧水区人民医院</w:t>
      </w:r>
      <w:r>
        <w:rPr>
          <w:rFonts w:hint="eastAsia" w:ascii="宋体" w:hAnsi="宋体"/>
          <w:color w:val="000000"/>
          <w:sz w:val="24"/>
          <w:szCs w:val="24"/>
        </w:rPr>
        <w:t>遵循“谁</w:t>
      </w:r>
      <w:r>
        <w:rPr>
          <w:rFonts w:ascii="宋体" w:hAnsi="宋体"/>
          <w:color w:val="000000"/>
          <w:sz w:val="24"/>
          <w:szCs w:val="24"/>
        </w:rPr>
        <w:t>过错</w:t>
      </w:r>
      <w:r>
        <w:rPr>
          <w:rFonts w:hint="eastAsia" w:ascii="宋体" w:hAnsi="宋体"/>
          <w:color w:val="000000"/>
          <w:sz w:val="24"/>
          <w:szCs w:val="24"/>
        </w:rPr>
        <w:t>谁负担”的</w:t>
      </w:r>
      <w:r>
        <w:rPr>
          <w:rFonts w:ascii="宋体" w:hAnsi="宋体"/>
          <w:color w:val="000000"/>
          <w:sz w:val="24"/>
          <w:szCs w:val="24"/>
        </w:rPr>
        <w:t>原则</w:t>
      </w:r>
      <w:r>
        <w:rPr>
          <w:rFonts w:hint="eastAsia" w:ascii="宋体" w:hAnsi="宋体"/>
          <w:color w:val="000000"/>
          <w:sz w:val="24"/>
          <w:szCs w:val="24"/>
        </w:rPr>
        <w:t>，有过错的一方承担调查论证费用。</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b/>
          <w:bCs/>
          <w:color w:val="000000"/>
          <w:sz w:val="24"/>
          <w:szCs w:val="24"/>
        </w:rPr>
        <w:t>17</w:t>
      </w:r>
      <w:r>
        <w:rPr>
          <w:rFonts w:hint="eastAsia" w:ascii="宋体" w:hAnsi="宋体"/>
          <w:b/>
          <w:bCs/>
          <w:color w:val="000000"/>
          <w:sz w:val="24"/>
          <w:szCs w:val="24"/>
          <w:lang w:val="zh-CN"/>
        </w:rPr>
        <w:t>、投诉</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rPr>
        <w:t>17</w:t>
      </w:r>
      <w:r>
        <w:rPr>
          <w:rFonts w:hint="eastAsia" w:ascii="宋体" w:hAnsi="宋体"/>
          <w:color w:val="000000"/>
          <w:sz w:val="24"/>
          <w:szCs w:val="24"/>
          <w:lang w:val="zh-CN"/>
        </w:rPr>
        <w:t>.1</w:t>
      </w:r>
      <w:r>
        <w:rPr>
          <w:rFonts w:ascii="宋体" w:hAnsi="宋体"/>
          <w:color w:val="000000"/>
          <w:sz w:val="24"/>
          <w:szCs w:val="24"/>
          <w:lang w:val="zh-CN"/>
        </w:rPr>
        <w:t xml:space="preserve"> </w:t>
      </w:r>
      <w:r>
        <w:rPr>
          <w:rFonts w:hint="eastAsia" w:ascii="宋体" w:hAnsi="宋体"/>
          <w:color w:val="000000"/>
          <w:sz w:val="24"/>
          <w:szCs w:val="24"/>
          <w:lang w:val="zh-CN"/>
        </w:rPr>
        <w:t>质疑供应商对采购人或溧水区人民医院的答复不满意，采购人或溧水区人民医院未在规定的时间内作出答复的，可以在答复期满后</w:t>
      </w:r>
      <w:r>
        <w:rPr>
          <w:rFonts w:hint="eastAsia" w:ascii="宋体" w:hAnsi="宋体"/>
          <w:b/>
          <w:bCs/>
          <w:color w:val="000000"/>
          <w:sz w:val="24"/>
          <w:szCs w:val="24"/>
          <w:lang w:val="zh-CN"/>
        </w:rPr>
        <w:t>十五个工作日内</w:t>
      </w:r>
      <w:r>
        <w:rPr>
          <w:rFonts w:hint="eastAsia" w:ascii="宋体" w:hAnsi="宋体"/>
          <w:color w:val="000000"/>
          <w:sz w:val="24"/>
          <w:szCs w:val="24"/>
          <w:lang w:val="zh-CN"/>
        </w:rPr>
        <w:t>向采购项目同级财政部门投诉。</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b/>
          <w:bCs/>
          <w:color w:val="000000"/>
          <w:sz w:val="24"/>
          <w:szCs w:val="24"/>
          <w:lang w:val="zh-CN"/>
        </w:rPr>
      </w:pPr>
      <w:r>
        <w:rPr>
          <w:rFonts w:hint="eastAsia" w:ascii="宋体" w:hAnsi="宋体"/>
          <w:b/>
          <w:bCs/>
          <w:color w:val="000000"/>
          <w:sz w:val="24"/>
          <w:szCs w:val="24"/>
        </w:rPr>
        <w:t>18</w:t>
      </w:r>
      <w:r>
        <w:rPr>
          <w:rFonts w:hint="eastAsia" w:ascii="宋体" w:hAnsi="宋体"/>
          <w:b/>
          <w:bCs/>
          <w:color w:val="000000"/>
          <w:sz w:val="24"/>
          <w:szCs w:val="24"/>
          <w:lang w:val="zh-CN"/>
        </w:rPr>
        <w:t>、诚实信用</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sz w:val="24"/>
          <w:szCs w:val="24"/>
          <w:lang w:val="zh-CN"/>
        </w:rPr>
      </w:pPr>
      <w:r>
        <w:rPr>
          <w:rFonts w:hint="eastAsia" w:ascii="宋体" w:hAnsi="宋体"/>
          <w:sz w:val="24"/>
          <w:szCs w:val="24"/>
        </w:rPr>
        <w:t>18</w:t>
      </w:r>
      <w:r>
        <w:rPr>
          <w:rFonts w:ascii="宋体" w:hAnsi="宋体"/>
          <w:sz w:val="24"/>
          <w:szCs w:val="24"/>
          <w:lang w:val="zh-CN"/>
        </w:rPr>
        <w:t>.1</w:t>
      </w:r>
      <w:r>
        <w:rPr>
          <w:rFonts w:hint="eastAsia" w:ascii="宋体" w:hAnsi="宋体"/>
          <w:sz w:val="24"/>
          <w:szCs w:val="24"/>
          <w:lang w:val="zh-CN"/>
        </w:rPr>
        <w:t xml:space="preserve"> 供应商之间不得相互串通投标报价，不得妨碍其他供应商的公平竞争，不得损害采购人和其他供应商的合法权益。</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sz w:val="24"/>
          <w:szCs w:val="24"/>
          <w:lang w:val="zh-CN"/>
        </w:rPr>
      </w:pPr>
      <w:r>
        <w:rPr>
          <w:rFonts w:hint="eastAsia" w:ascii="宋体" w:hAnsi="宋体"/>
          <w:sz w:val="24"/>
          <w:szCs w:val="24"/>
        </w:rPr>
        <w:t>18</w:t>
      </w:r>
      <w:r>
        <w:rPr>
          <w:rFonts w:hint="eastAsia" w:ascii="宋体" w:hAnsi="宋体"/>
          <w:sz w:val="24"/>
          <w:szCs w:val="24"/>
          <w:lang w:val="zh-CN"/>
        </w:rPr>
        <w:t>.2 供应商不得以向溧水区人民医院工作人员、谈判小组成员行贿或者采取其他不正当手段谋取成交。经查实供应商有此行为的，</w:t>
      </w:r>
      <w:r>
        <w:rPr>
          <w:sz w:val="24"/>
          <w:szCs w:val="24"/>
        </w:rPr>
        <w:t>政府采购管理部门将供应商列入不良行为记录名单，按照《政府采购法》有关规定处理。</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sz w:val="24"/>
          <w:szCs w:val="24"/>
          <w:lang w:val="zh-CN"/>
        </w:rPr>
      </w:pPr>
      <w:r>
        <w:rPr>
          <w:rFonts w:hint="eastAsia" w:ascii="宋体" w:hAnsi="宋体"/>
          <w:sz w:val="24"/>
          <w:szCs w:val="24"/>
        </w:rPr>
        <w:t>18</w:t>
      </w:r>
      <w:r>
        <w:rPr>
          <w:rFonts w:hint="eastAsia" w:ascii="宋体" w:hAnsi="宋体"/>
          <w:sz w:val="24"/>
          <w:szCs w:val="24"/>
          <w:lang w:val="zh-CN"/>
        </w:rPr>
        <w:t>.3 供应商提出书面质疑必须有理、有据，不得虚假质疑和恶意质疑，并对质疑内容的真实性承担责任。一经查实，溧水区人民医院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溧水区人民医院将提请财政部门将其列入不良行为记录名单，并依法予以处罚。</w:t>
      </w: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rPr>
        <w:t>18</w:t>
      </w:r>
      <w:r>
        <w:rPr>
          <w:rFonts w:hint="eastAsia" w:ascii="宋体" w:hAnsi="宋体"/>
          <w:sz w:val="24"/>
          <w:szCs w:val="24"/>
          <w:lang w:val="zh-CN"/>
        </w:rPr>
        <w:t>.4 供应商不得虚假承诺，否则，按照提供虚假材料谋取中标成交处理。</w:t>
      </w:r>
    </w:p>
    <w:p>
      <w:pPr>
        <w:keepNext w:val="0"/>
        <w:keepLines w:val="0"/>
        <w:pageBreakBefore w:val="0"/>
        <w:kinsoku/>
        <w:wordWrap/>
        <w:overflowPunct/>
        <w:topLinePunct w:val="0"/>
        <w:bidi w:val="0"/>
        <w:spacing w:line="360" w:lineRule="exact"/>
        <w:ind w:firstLine="480" w:firstLineChars="200"/>
        <w:textAlignment w:val="auto"/>
        <w:rPr>
          <w:rFonts w:ascii="宋体" w:hAnsi="宋体"/>
          <w:color w:val="000000"/>
          <w:sz w:val="24"/>
          <w:szCs w:val="24"/>
          <w:lang w:val="zh-CN"/>
        </w:rPr>
      </w:pPr>
      <w:r>
        <w:rPr>
          <w:rFonts w:hint="eastAsia" w:ascii="宋体" w:hAnsi="宋体"/>
          <w:sz w:val="24"/>
          <w:szCs w:val="24"/>
        </w:rPr>
        <w:t>18</w:t>
      </w:r>
      <w:r>
        <w:rPr>
          <w:rFonts w:hint="eastAsia" w:ascii="宋体" w:hAnsi="宋体"/>
          <w:sz w:val="24"/>
          <w:szCs w:val="24"/>
          <w:lang w:val="zh-CN"/>
        </w:rPr>
        <w:t>.5 供应商应自觉遵守谈判纪律，扰乱谈判现场秩序的，属于失信行为，根据《江苏省政府采购供应商监督管理暂行办法》，失信行为将被记入供应商诚信档案。</w:t>
      </w:r>
    </w:p>
    <w:p>
      <w:pPr>
        <w:pageBreakBefore w:val="0"/>
        <w:kinsoku/>
        <w:wordWrap/>
        <w:overflowPunct/>
        <w:topLinePunct w:val="0"/>
        <w:bidi w:val="0"/>
        <w:snapToGrid/>
        <w:spacing w:line="360" w:lineRule="exact"/>
        <w:rPr>
          <w:rFonts w:hint="eastAsia" w:asciiTheme="minorEastAsia" w:hAnsiTheme="minorEastAsia" w:eastAsiaTheme="minorEastAsia" w:cstheme="minorEastAsia"/>
          <w:sz w:val="24"/>
          <w:szCs w:val="24"/>
          <w:lang w:val="en-US" w:eastAsia="zh-CN"/>
        </w:rPr>
      </w:pPr>
    </w:p>
    <w:p>
      <w:pPr>
        <w:pageBreakBefore w:val="0"/>
        <w:numPr>
          <w:ilvl w:val="0"/>
          <w:numId w:val="0"/>
        </w:numPr>
        <w:kinsoku/>
        <w:wordWrap/>
        <w:overflowPunct/>
        <w:topLinePunct w:val="0"/>
        <w:bidi w:val="0"/>
        <w:snapToGrid/>
        <w:spacing w:line="360" w:lineRule="exact"/>
        <w:rPr>
          <w:rFonts w:hint="eastAsia" w:asciiTheme="minorEastAsia" w:hAnsiTheme="minorEastAsia" w:eastAsiaTheme="minorEastAsia" w:cstheme="minorEastAsia"/>
          <w:b w:val="0"/>
          <w:bCs w:val="0"/>
          <w:sz w:val="24"/>
          <w:szCs w:val="24"/>
          <w:lang w:val="en-US" w:eastAsia="zh-CN"/>
        </w:rPr>
      </w:pPr>
    </w:p>
    <w:p>
      <w:pPr>
        <w:pageBreakBefore w:val="0"/>
        <w:numPr>
          <w:ilvl w:val="0"/>
          <w:numId w:val="0"/>
        </w:numPr>
        <w:kinsoku/>
        <w:wordWrap/>
        <w:overflowPunct/>
        <w:topLinePunct w:val="0"/>
        <w:bidi w:val="0"/>
        <w:snapToGrid/>
        <w:spacing w:line="360" w:lineRule="exact"/>
        <w:ind w:firstLine="2530" w:firstLineChars="9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第三章   采购需求</w:t>
      </w:r>
    </w:p>
    <w:p>
      <w:pPr>
        <w:keepNext w:val="0"/>
        <w:keepLines w:val="0"/>
        <w:pageBreakBefore w:val="0"/>
        <w:kinsoku/>
        <w:wordWrap/>
        <w:overflowPunct/>
        <w:topLinePunct w:val="0"/>
        <w:autoSpaceDE/>
        <w:autoSpaceDN/>
        <w:bidi w:val="0"/>
        <w:snapToGrid/>
        <w:spacing w:line="360" w:lineRule="exact"/>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一、采购需求</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 项目名称：</w:t>
      </w:r>
      <w:r>
        <w:rPr>
          <w:rFonts w:hint="eastAsia" w:asciiTheme="minorEastAsia" w:hAnsiTheme="minorEastAsia" w:eastAsiaTheme="minorEastAsia" w:cstheme="minorEastAsia"/>
          <w:sz w:val="24"/>
          <w:szCs w:val="24"/>
          <w:lang w:val="en-US" w:eastAsia="zh-CN"/>
        </w:rPr>
        <w:t>环保自行监测服务</w:t>
      </w:r>
    </w:p>
    <w:p>
      <w:pPr>
        <w:keepNext w:val="0"/>
        <w:keepLines w:val="0"/>
        <w:pageBreakBefore w:val="0"/>
        <w:kinsoku/>
        <w:wordWrap/>
        <w:overflowPunct/>
        <w:topLinePunct w:val="0"/>
        <w:autoSpaceDE/>
        <w:autoSpaceDN/>
        <w:bidi w:val="0"/>
        <w:snapToGrid/>
        <w:spacing w:line="360" w:lineRule="exact"/>
        <w:textAlignment w:val="auto"/>
        <w:outlineLvl w:val="0"/>
        <w:rPr>
          <w:rFonts w:hint="default"/>
          <w:lang w:val="en-US" w:eastAsia="zh-CN"/>
        </w:rPr>
      </w:pPr>
      <w:r>
        <w:rPr>
          <w:rFonts w:hint="eastAsia" w:asciiTheme="minorEastAsia" w:hAnsiTheme="minorEastAsia" w:eastAsiaTheme="minorEastAsia" w:cstheme="minorEastAsia"/>
          <w:b/>
          <w:bCs/>
          <w:sz w:val="24"/>
          <w:szCs w:val="24"/>
          <w:lang w:val="en-US" w:eastAsia="zh-CN"/>
        </w:rPr>
        <w:t>1.2 采购限价：</w:t>
      </w:r>
      <w:r>
        <w:rPr>
          <w:rFonts w:hint="eastAsia" w:asciiTheme="minorEastAsia" w:hAnsiTheme="minorEastAsia" w:eastAsiaTheme="minorEastAsia" w:cstheme="minorEastAsia"/>
          <w:sz w:val="24"/>
          <w:szCs w:val="24"/>
          <w:lang w:val="en-US" w:eastAsia="zh-CN"/>
        </w:rPr>
        <w:t>5万元/年</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1.3报价包含：</w:t>
      </w:r>
      <w:r>
        <w:rPr>
          <w:rFonts w:hint="eastAsia" w:asciiTheme="minorEastAsia" w:hAnsiTheme="minorEastAsia" w:eastAsiaTheme="minorEastAsia" w:cstheme="minorEastAsia"/>
          <w:sz w:val="24"/>
          <w:szCs w:val="24"/>
          <w:lang w:val="en-US" w:eastAsia="zh-CN"/>
        </w:rPr>
        <w:t>环保自行检测技术服务项目的采样费、分析费、劳务费、交通费、报告编辑费和税金等一切所需费用。乙方不再另外收取任何费用。</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1.4服务期限：</w:t>
      </w:r>
      <w:r>
        <w:rPr>
          <w:rFonts w:hint="eastAsia" w:asciiTheme="minorEastAsia" w:hAnsiTheme="minorEastAsia" w:eastAsiaTheme="minorEastAsia" w:cstheme="minorEastAsia"/>
          <w:sz w:val="24"/>
          <w:szCs w:val="24"/>
          <w:lang w:val="en-US" w:eastAsia="zh-CN"/>
        </w:rPr>
        <w:t>两年。甲方对乙方的服务质量进行年度评价，由总务科（56232027）负责监督考核乙方的服务，如在合同期内甲方对乙方服务不满意，甲方有权更换掉乙方，并终止与乙方的合作关系。</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1.5付款方式：</w:t>
      </w:r>
      <w:r>
        <w:rPr>
          <w:rFonts w:hint="eastAsia" w:asciiTheme="minorEastAsia" w:hAnsiTheme="minorEastAsia" w:eastAsiaTheme="minorEastAsia" w:cstheme="minorEastAsia"/>
          <w:b/>
          <w:bCs/>
          <w:sz w:val="24"/>
          <w:szCs w:val="24"/>
          <w:u w:val="single"/>
          <w:lang w:val="en-US" w:eastAsia="zh-CN"/>
        </w:rPr>
        <w:t>分两次付款先服务后付款，第一次付款：服务满一年乙方开具发票甲方按其流程支付上一年度的检测费，第二次付款：合同期满后乙方开具发票甲方按其内部流程支付第二年的检测费。</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二、服务要求：</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乙方具有国家规定的相关检测资质，根据甲方需求和国家有关环境保护法律、法规、政策等，为甲方在自行监测方案范围内进行环保监测及数据登记上报。按照医院现行的自行监测方案开展自行监测并出具检测报告</w:t>
      </w:r>
      <w:r>
        <w:rPr>
          <w:rFonts w:hint="eastAsia" w:asciiTheme="minorEastAsia" w:hAnsiTheme="minorEastAsia" w:eastAsiaTheme="minorEastAsia" w:cstheme="minorEastAsia"/>
          <w:b/>
          <w:bCs/>
          <w:sz w:val="24"/>
          <w:szCs w:val="24"/>
          <w:u w:val="single"/>
          <w:lang w:val="en-US" w:eastAsia="zh-CN"/>
        </w:rPr>
        <w:t>（纸质报告每样两份，并提供电子报告）</w:t>
      </w:r>
      <w:r>
        <w:rPr>
          <w:rFonts w:hint="eastAsia" w:asciiTheme="minorEastAsia" w:hAnsiTheme="minorEastAsia" w:eastAsiaTheme="minorEastAsia" w:cstheme="minorEastAsia"/>
          <w:sz w:val="24"/>
          <w:szCs w:val="24"/>
          <w:lang w:val="en-US" w:eastAsia="zh-CN"/>
        </w:rPr>
        <w:t xml:space="preserve">，自行监测方案附后，如遇环保部门要求方案调整，执行最新的方案，合同价不再调整。乙方依据国家和行业要求，对检测结果出具真实、规范、有效的符合CMA认证的检验报告。并由经办人、项目负责人和技术负责人签名，并加盖印章。乙方对出具的检测报告负有法律责任，检测报告必须实事求是，数据准确可靠。 </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（2）如有偶发数据异常，不能直接发布，应及时书面通知甲方，查清原因，待问题解决并复查正常后方能发布，如因乙方处理不当对甲方造成负面影响或经济损失，乙方承担全部责任。</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根据检测对象的具体情况，拟定具体的检测方案，明确项目负责人，至少指定2名以上执业人员负责实施，项目负责人与项目执行人员必须持有规定的有效证件入场检测，由甲方负责检查乙方的资质和进场人员的执业资格，乙方需无条件配合。执业人员检测时应当认真如实填写检测记录。</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（4）服务方式： 数据监测、网上填报、技术咨询、现场指导。</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（5）乙方每次进场采样、检测等必须通知甲方，并在甲方监管下有序进行。每次采样、检测等不得影响甲方的正常经营秩序。</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对于乙方提出的技术咨询意见，甲方需积极予以落实、整改，如甲方需要乙方对整改情况进行复查服务的，乙方须积极配合甲方进行整改复查，甲方应在整改完成后3日内告知乙方进行复查。如乙方在接到甲方通知3日内不进行响应复查，甲方有权要求乙方赔偿违约金，每延误一天复查，扣除年合同金额5‰/日；</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（7）乙方设专人配合甲方的工作，根据甲方提供的相关登报平台网址、用户名、密码等，同时及时将上级主管部门的填报要求通知甲方。</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三、质量标准</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1、严格按照现行国家与行业标准执行此项目。</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2、乙方未按照甲方的自行监测方案开展监测或不按时出具检测报告或检测报告的真实性有效性不足的，甲方有权终止合同，由此造成的环保部门的处罚由乙方负责，给甲方造成的其他损失全部由乙方负责赔偿。</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3、乙方应对甲方由于采用乙方的服务，或乙方人员的失误而对甲方造成的直接或造成第三者的财产损失负责。</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4、乙方遵守安全操作规程的规定，遵守甲方有关安全要求.因此项目造成的一切安全事故，与甲方无关。</w:t>
      </w:r>
    </w:p>
    <w:p>
      <w:pPr>
        <w:pStyle w:val="7"/>
        <w:ind w:left="0" w:leftChars="0" w:firstLine="0" w:firstLineChars="0"/>
        <w:rPr>
          <w:rFonts w:hint="eastAsia"/>
          <w:lang w:val="en-US" w:eastAsia="zh-CN"/>
        </w:rPr>
      </w:pPr>
    </w:p>
    <w:p>
      <w:pPr>
        <w:numPr>
          <w:ilvl w:val="0"/>
          <w:numId w:val="2"/>
        </w:numPr>
        <w:rPr>
          <w:rFonts w:hint="eastAsia"/>
          <w:lang w:val="en-US" w:eastAsia="zh-CN"/>
        </w:rPr>
      </w:pPr>
      <w:r>
        <w:rPr>
          <w:rFonts w:hint="eastAsia"/>
          <w:lang w:val="en-US" w:eastAsia="zh-CN"/>
        </w:rPr>
        <w:t>方案要求</w:t>
      </w:r>
    </w:p>
    <w:p>
      <w:pPr>
        <w:pStyle w:val="3"/>
        <w:rPr>
          <w:rFonts w:ascii="Times New Roman" w:hAnsi="Times New Roman" w:cs="Times New Roman"/>
        </w:rPr>
      </w:pPr>
      <w:r>
        <w:rPr>
          <w:rFonts w:ascii="Times New Roman" w:hAnsi="Times New Roman" w:cs="Times New Roman"/>
        </w:rPr>
        <w:t>一、企业概况</w:t>
      </w:r>
    </w:p>
    <w:p>
      <w:pPr>
        <w:pStyle w:val="4"/>
        <w:spacing w:before="156"/>
        <w:rPr>
          <w:rFonts w:ascii="Times New Roman" w:hAnsi="Times New Roman" w:cs="Times New Roman"/>
        </w:rPr>
      </w:pPr>
      <w:r>
        <w:rPr>
          <w:rFonts w:ascii="Times New Roman" w:hAnsi="Times New Roman" w:cs="Times New Roman"/>
        </w:rPr>
        <w:t>（一）基本情况</w:t>
      </w:r>
    </w:p>
    <w:p>
      <w:pPr>
        <w:pStyle w:val="2"/>
        <w:ind w:firstLine="480"/>
        <w:rPr>
          <w:rFonts w:ascii="Times New Roman" w:hAnsi="Times New Roman" w:cs="Times New Roman"/>
        </w:rPr>
      </w:pPr>
      <w:r>
        <w:rPr>
          <w:rFonts w:ascii="Times New Roman" w:hAnsi="Times New Roman" w:cs="Times New Roman"/>
        </w:rPr>
        <w:t>南京市</w:t>
      </w:r>
      <w:r>
        <w:rPr>
          <w:rFonts w:hint="eastAsia" w:ascii="Times New Roman" w:hAnsi="Times New Roman" w:cs="Times New Roman"/>
          <w:lang w:val="en-US" w:eastAsia="zh-CN"/>
        </w:rPr>
        <w:t>溧水区人民医院位于南京市溧水区永阳镇崇文路86号</w:t>
      </w:r>
      <w:r>
        <w:rPr>
          <w:rFonts w:ascii="Times New Roman" w:hAnsi="Times New Roman" w:cs="Times New Roman"/>
        </w:rPr>
        <w:t>，</w:t>
      </w:r>
      <w:r>
        <w:rPr>
          <w:rFonts w:hint="eastAsia" w:ascii="Times New Roman" w:hAnsi="Times New Roman" w:cs="Times New Roman"/>
          <w:lang w:val="en-US" w:eastAsia="zh-CN"/>
        </w:rPr>
        <w:t>医院现开放床位1000张，医院总职工人数1430人，卫技人员1266人。</w:t>
      </w:r>
      <w:r>
        <w:rPr>
          <w:rFonts w:ascii="Times New Roman" w:hAnsi="Times New Roman" w:cs="Times New Roman"/>
        </w:rPr>
        <w:t>根据《排污单位自行监测技术指南总则》(HJ 819-2017)、《排污许可证申请与核发技术规范医疗机构》（HJ 1105-2020）、《排污单位自行监测技术指南火力发电及锅炉》(HJ 820-2017)要求，医院根据实际情况，查清本院的污染源、污染物指标及潜在的环境影响，制定了本院的环境自行监测方案。</w:t>
      </w:r>
    </w:p>
    <w:p>
      <w:pPr>
        <w:pStyle w:val="4"/>
        <w:spacing w:before="156"/>
        <w:rPr>
          <w:rFonts w:ascii="Times New Roman" w:hAnsi="Times New Roman" w:cs="Times New Roman"/>
        </w:rPr>
      </w:pPr>
      <w:r>
        <w:rPr>
          <w:rFonts w:ascii="Times New Roman" w:hAnsi="Times New Roman" w:cs="Times New Roman"/>
        </w:rPr>
        <w:t>（二）排污情况</w:t>
      </w:r>
    </w:p>
    <w:p>
      <w:pPr>
        <w:pStyle w:val="2"/>
        <w:ind w:firstLine="480"/>
        <w:rPr>
          <w:rFonts w:ascii="Times New Roman" w:hAnsi="Times New Roman" w:cs="Times New Roman"/>
        </w:rPr>
      </w:pPr>
      <w:r>
        <w:rPr>
          <w:rFonts w:ascii="Times New Roman" w:hAnsi="Times New Roman" w:cs="Times New Roman"/>
        </w:rPr>
        <w:t>依据环评及批复、企业实际污染物排放及处理利用情况进行梳理。</w:t>
      </w:r>
    </w:p>
    <w:p>
      <w:pPr>
        <w:pStyle w:val="2"/>
        <w:ind w:firstLine="480"/>
        <w:rPr>
          <w:rFonts w:ascii="Times New Roman" w:hAnsi="Times New Roman" w:cs="Times New Roman"/>
        </w:rPr>
      </w:pPr>
      <w:r>
        <w:rPr>
          <w:rFonts w:ascii="Times New Roman" w:hAnsi="Times New Roman" w:cs="Times New Roman"/>
        </w:rPr>
        <w:t>废水方面：共有1个排口，为废水总排口，处理工艺为“生物接触氧化池＋消毒”，排放污染物为pH、COD、SS、粪大肠菌群、阴离子表面活性剂、动植物油等。</w:t>
      </w:r>
    </w:p>
    <w:p>
      <w:pPr>
        <w:pStyle w:val="2"/>
        <w:ind w:firstLine="480"/>
        <w:rPr>
          <w:rFonts w:ascii="Times New Roman" w:hAnsi="Times New Roman" w:cs="Times New Roman"/>
        </w:rPr>
      </w:pPr>
      <w:r>
        <w:rPr>
          <w:rFonts w:ascii="Times New Roman" w:hAnsi="Times New Roman" w:cs="Times New Roman"/>
        </w:rPr>
        <w:t>废气方面：</w:t>
      </w:r>
    </w:p>
    <w:p>
      <w:pPr>
        <w:pStyle w:val="2"/>
        <w:ind w:firstLine="480"/>
        <w:rPr>
          <w:rFonts w:hint="default" w:ascii="Times New Roman" w:hAnsi="Times New Roman" w:eastAsia="宋体" w:cs="Times New Roman"/>
          <w:lang w:val="en-US" w:eastAsia="zh-CN"/>
        </w:rPr>
      </w:pPr>
      <w:r>
        <w:rPr>
          <w:rFonts w:hint="eastAsia" w:ascii="Times New Roman" w:hAnsi="Times New Roman" w:cs="Times New Roman"/>
          <w:lang w:val="en-US" w:eastAsia="zh-CN"/>
        </w:rPr>
        <w:t>有组织排放废气：</w:t>
      </w:r>
      <w:r>
        <w:rPr>
          <w:rFonts w:ascii="Times New Roman" w:hAnsi="Times New Roman" w:cs="Times New Roman"/>
        </w:rPr>
        <w:t>有</w:t>
      </w:r>
      <w:r>
        <w:rPr>
          <w:rFonts w:hint="eastAsia" w:ascii="Times New Roman" w:hAnsi="Times New Roman" w:cs="Times New Roman"/>
          <w:lang w:val="en-US" w:eastAsia="zh-CN"/>
        </w:rPr>
        <w:t>4</w:t>
      </w:r>
      <w:r>
        <w:rPr>
          <w:rFonts w:ascii="Times New Roman" w:hAnsi="Times New Roman" w:cs="Times New Roman"/>
        </w:rPr>
        <w:t>个排口。锅炉废气采用清洁能源天然气，</w:t>
      </w:r>
      <w:r>
        <w:rPr>
          <w:rFonts w:hint="eastAsia" w:ascii="Times New Roman" w:hAnsi="Times New Roman" w:cs="Times New Roman"/>
          <w:lang w:val="en-US" w:eastAsia="zh-CN"/>
        </w:rPr>
        <w:t>2台2t/h的蒸汽锅炉通过废气排口1排出，3台1.8t/h的热水锅通过废气排口2排出，3台2.2t/h的锅炉通过废气排口3排出，</w:t>
      </w:r>
      <w:r>
        <w:rPr>
          <w:rFonts w:ascii="Times New Roman" w:hAnsi="Times New Roman" w:cs="Times New Roman"/>
        </w:rPr>
        <w:t>排放污染物为颗粒物、二氧化硫、氮氧化物、林格曼黑度。</w:t>
      </w:r>
      <w:r>
        <w:rPr>
          <w:rFonts w:hint="eastAsia" w:ascii="Times New Roman" w:hAnsi="Times New Roman" w:cs="Times New Roman"/>
          <w:lang w:val="en-US" w:eastAsia="zh-CN"/>
        </w:rPr>
        <w:t>污水站有组织废气经过</w:t>
      </w:r>
      <w:r>
        <w:rPr>
          <w:rFonts w:hint="eastAsia" w:ascii="Times New Roman" w:hAnsi="Times New Roman" w:cs="Times New Roman"/>
          <w:highlight w:val="none"/>
          <w:lang w:val="en-US" w:eastAsia="zh-CN"/>
        </w:rPr>
        <w:t xml:space="preserve">  90 米</w:t>
      </w:r>
      <w:r>
        <w:rPr>
          <w:rFonts w:hint="eastAsia" w:ascii="Times New Roman" w:hAnsi="Times New Roman" w:cs="Times New Roman"/>
          <w:lang w:val="en-US" w:eastAsia="zh-CN"/>
        </w:rPr>
        <w:t>高的废气排口排出，产生的污染物为硫化氢、臭气浓度、氨等。</w:t>
      </w:r>
    </w:p>
    <w:p>
      <w:pPr>
        <w:pStyle w:val="2"/>
        <w:ind w:firstLine="480"/>
        <w:rPr>
          <w:rFonts w:ascii="Times New Roman" w:hAnsi="Times New Roman" w:cs="Times New Roman"/>
        </w:rPr>
      </w:pPr>
      <w:r>
        <w:rPr>
          <w:rFonts w:ascii="Times New Roman" w:hAnsi="Times New Roman" w:cs="Times New Roman"/>
        </w:rPr>
        <w:t>无组织排放废气方面：污水处理设施恶臭废气硫化氢、氨气、臭气浓度、氯气、甲烷，自然扩散至周围大气。</w:t>
      </w:r>
    </w:p>
    <w:p>
      <w:pPr>
        <w:pStyle w:val="2"/>
        <w:ind w:firstLine="480"/>
        <w:rPr>
          <w:rFonts w:ascii="Times New Roman" w:hAnsi="Times New Roman" w:cs="Times New Roman"/>
        </w:rPr>
      </w:pPr>
      <w:r>
        <w:rPr>
          <w:rFonts w:ascii="Times New Roman" w:hAnsi="Times New Roman" w:cs="Times New Roman"/>
        </w:rPr>
        <w:t>噪声方面：主要来源泵房、空调外机等噪声，采用减振、隔声、距离衰减等措施。</w:t>
      </w:r>
    </w:p>
    <w:p>
      <w:pPr>
        <w:pStyle w:val="3"/>
        <w:rPr>
          <w:rFonts w:ascii="Times New Roman" w:hAnsi="Times New Roman" w:cs="Times New Roman"/>
        </w:rPr>
      </w:pPr>
      <w:r>
        <w:rPr>
          <w:rFonts w:ascii="Times New Roman" w:hAnsi="Times New Roman" w:cs="Times New Roman"/>
        </w:rPr>
        <w:t>二、企业自行监测开展情况说明</w:t>
      </w:r>
    </w:p>
    <w:p>
      <w:pPr>
        <w:pStyle w:val="2"/>
        <w:ind w:firstLine="480"/>
        <w:rPr>
          <w:rFonts w:hint="default" w:ascii="Times New Roman" w:hAnsi="Times New Roman" w:eastAsia="宋体" w:cs="Times New Roman"/>
          <w:lang w:val="en-US" w:eastAsia="zh-CN"/>
        </w:rPr>
      </w:pPr>
      <w:r>
        <w:rPr>
          <w:rFonts w:ascii="Times New Roman" w:hAnsi="Times New Roman" w:cs="Times New Roman"/>
        </w:rPr>
        <w:t>医院于2019年1</w:t>
      </w:r>
      <w:r>
        <w:rPr>
          <w:rFonts w:hint="eastAsia" w:ascii="Times New Roman" w:hAnsi="Times New Roman" w:cs="Times New Roman"/>
          <w:lang w:val="en-US" w:eastAsia="zh-CN"/>
        </w:rPr>
        <w:t>1</w:t>
      </w:r>
      <w:r>
        <w:rPr>
          <w:rFonts w:ascii="Times New Roman" w:hAnsi="Times New Roman" w:cs="Times New Roman"/>
        </w:rPr>
        <w:t>月取得排污许可证，自202</w:t>
      </w:r>
      <w:r>
        <w:rPr>
          <w:rFonts w:hint="eastAsia" w:ascii="Times New Roman" w:hAnsi="Times New Roman" w:cs="Times New Roman"/>
          <w:lang w:val="en-US" w:eastAsia="zh-CN"/>
        </w:rPr>
        <w:t>0</w:t>
      </w:r>
      <w:r>
        <w:rPr>
          <w:rFonts w:ascii="Times New Roman" w:hAnsi="Times New Roman" w:cs="Times New Roman"/>
        </w:rPr>
        <w:t>年</w:t>
      </w:r>
      <w:r>
        <w:rPr>
          <w:rFonts w:hint="eastAsia" w:ascii="Times New Roman" w:hAnsi="Times New Roman" w:cs="Times New Roman"/>
          <w:lang w:val="en-US" w:eastAsia="zh-CN"/>
        </w:rPr>
        <w:t>9</w:t>
      </w:r>
      <w:r>
        <w:rPr>
          <w:rFonts w:ascii="Times New Roman" w:hAnsi="Times New Roman" w:cs="Times New Roman"/>
        </w:rPr>
        <w:t>月起按照自行监测方案开展相关监测工作。</w:t>
      </w:r>
      <w:r>
        <w:rPr>
          <w:rFonts w:hint="eastAsia" w:ascii="Times New Roman" w:hAnsi="Times New Roman" w:cs="Times New Roman"/>
          <w:lang w:val="en-US" w:eastAsia="zh-CN"/>
        </w:rPr>
        <w:t>2022年11月起按照最新的自行监测方案开展相关监测工作。</w:t>
      </w:r>
    </w:p>
    <w:p>
      <w:pPr>
        <w:pStyle w:val="2"/>
        <w:ind w:firstLine="480"/>
        <w:rPr>
          <w:rFonts w:ascii="Times New Roman" w:hAnsi="Times New Roman" w:cs="Times New Roman"/>
        </w:rPr>
      </w:pPr>
      <w:r>
        <w:rPr>
          <w:rFonts w:ascii="Times New Roman" w:hAnsi="Times New Roman" w:cs="Times New Roman"/>
        </w:rPr>
        <w:t>本院自行监测手段采用手工监测+自动监测相结合，开展自动监测的项目有废水中的流量、pH、COD、余氯，其他未开展自动监测的项目均采用手工监测。</w:t>
      </w:r>
    </w:p>
    <w:p>
      <w:pPr>
        <w:pStyle w:val="2"/>
        <w:ind w:firstLine="480"/>
        <w:rPr>
          <w:rFonts w:ascii="Times New Roman" w:hAnsi="Times New Roman" w:cs="Times New Roman"/>
        </w:rPr>
      </w:pPr>
      <w:r>
        <w:rPr>
          <w:rFonts w:ascii="Times New Roman" w:hAnsi="Times New Roman" w:cs="Times New Roman"/>
        </w:rPr>
        <w:t>手工监测内容包括生活污水SS、粪大肠菌群、阴离子表面活性剂、动植物油等。锅炉燃烧废气颗粒物、二氧化硫、氮氧化物、林格曼黑度</w:t>
      </w:r>
      <w:r>
        <w:rPr>
          <w:rFonts w:hint="eastAsia" w:ascii="Times New Roman" w:hAnsi="Times New Roman" w:cs="Times New Roman"/>
          <w:lang w:eastAsia="zh-CN"/>
        </w:rPr>
        <w:t>；</w:t>
      </w:r>
      <w:r>
        <w:rPr>
          <w:rFonts w:hint="eastAsia" w:ascii="Times New Roman" w:hAnsi="Times New Roman" w:cs="Times New Roman"/>
          <w:lang w:val="en-US" w:eastAsia="zh-CN"/>
        </w:rPr>
        <w:t>污水站有组织废气：</w:t>
      </w:r>
      <w:r>
        <w:rPr>
          <w:rFonts w:ascii="Times New Roman" w:hAnsi="Times New Roman" w:cs="Times New Roman"/>
        </w:rPr>
        <w:t>硫化氢、氨气、臭气浓度</w:t>
      </w:r>
      <w:r>
        <w:rPr>
          <w:rFonts w:hint="eastAsia" w:ascii="Times New Roman" w:hAnsi="Times New Roman" w:cs="Times New Roman"/>
          <w:lang w:eastAsia="zh-CN"/>
        </w:rPr>
        <w:t>；</w:t>
      </w:r>
      <w:r>
        <w:rPr>
          <w:rFonts w:ascii="Times New Roman" w:hAnsi="Times New Roman" w:cs="Times New Roman"/>
        </w:rPr>
        <w:t>无组织废气：硫化氢、氨气、臭气浓度、氯气、甲烷。委托有CMA资质的江苏明熙检测有限公司、江苏省百斯特环境检测技术有限公司进行委外监测。</w:t>
      </w:r>
    </w:p>
    <w:p>
      <w:pPr>
        <w:pStyle w:val="3"/>
        <w:rPr>
          <w:rFonts w:ascii="Times New Roman" w:hAnsi="Times New Roman" w:cs="Times New Roman"/>
        </w:rPr>
      </w:pPr>
      <w:r>
        <w:rPr>
          <w:rFonts w:ascii="Times New Roman" w:hAnsi="Times New Roman" w:cs="Times New Roman"/>
        </w:rPr>
        <w:t>三、监测方案</w:t>
      </w:r>
    </w:p>
    <w:p>
      <w:pPr>
        <w:pStyle w:val="4"/>
        <w:spacing w:before="156"/>
        <w:rPr>
          <w:rFonts w:ascii="Times New Roman" w:hAnsi="Times New Roman" w:cs="Times New Roman"/>
        </w:rPr>
      </w:pPr>
      <w:r>
        <w:rPr>
          <w:rFonts w:ascii="Times New Roman" w:hAnsi="Times New Roman" w:cs="Times New Roman"/>
        </w:rPr>
        <w:t>（一）废气有组织监测方案</w:t>
      </w:r>
    </w:p>
    <w:p>
      <w:pPr>
        <w:pStyle w:val="2"/>
        <w:ind w:firstLine="480"/>
        <w:rPr>
          <w:rFonts w:ascii="Times New Roman" w:hAnsi="Times New Roman" w:cs="Times New Roman"/>
        </w:rPr>
      </w:pPr>
      <w:r>
        <w:rPr>
          <w:rFonts w:ascii="Times New Roman" w:hAnsi="Times New Roman" w:cs="Times New Roman"/>
        </w:rPr>
        <w:t>1、废气有组织监测点位、监测项目及监测频次见表 1。</w:t>
      </w:r>
    </w:p>
    <w:p>
      <w:pPr>
        <w:pStyle w:val="2"/>
        <w:ind w:firstLine="480"/>
        <w:rPr>
          <w:rFonts w:ascii="Times New Roman" w:hAnsi="Times New Roman" w:cs="Times New Roman"/>
        </w:rPr>
      </w:pPr>
      <w:r>
        <w:rPr>
          <w:rFonts w:ascii="Times New Roman" w:hAnsi="Times New Roman" w:cs="Times New Roman"/>
        </w:rPr>
        <w:t>本院废气有组织监测点位、监测项目及监测频次依据《排污单位自行监测技术指南火力发电及锅炉》(HJ 820-2017)表 1 要求。</w:t>
      </w:r>
    </w:p>
    <w:p>
      <w:pPr>
        <w:pStyle w:val="20"/>
        <w:rPr>
          <w:rFonts w:cs="Times New Roman"/>
        </w:rPr>
      </w:pPr>
      <w:r>
        <w:rPr>
          <w:rFonts w:cs="Times New Roman"/>
        </w:rPr>
        <w:t>表 1</w:t>
      </w:r>
      <w:r>
        <w:rPr>
          <w:rFonts w:cs="Times New Roman"/>
        </w:rPr>
        <w:tab/>
      </w:r>
      <w:r>
        <w:rPr>
          <w:rFonts w:cs="Times New Roman"/>
        </w:rPr>
        <w:t>废气污染源监测内容一览表</w:t>
      </w:r>
    </w:p>
    <w:tbl>
      <w:tblPr>
        <w:tblStyle w:val="21"/>
        <w:tblW w:w="8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1194"/>
        <w:gridCol w:w="1543"/>
        <w:gridCol w:w="1863"/>
        <w:gridCol w:w="1101"/>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574" w:type="dxa"/>
            <w:vAlign w:val="center"/>
          </w:tcPr>
          <w:p>
            <w:pPr>
              <w:pStyle w:val="15"/>
              <w:ind w:left="167"/>
              <w:rPr>
                <w:rFonts w:ascii="Times New Roman" w:hAnsi="Times New Roman" w:cs="Times New Roman"/>
                <w:b/>
                <w:sz w:val="21"/>
              </w:rPr>
            </w:pPr>
            <w:r>
              <w:rPr>
                <w:rFonts w:ascii="Times New Roman" w:hAnsi="Times New Roman" w:cs="Times New Roman"/>
                <w:b/>
                <w:sz w:val="21"/>
              </w:rPr>
              <w:t>类型</w:t>
            </w:r>
          </w:p>
        </w:tc>
        <w:tc>
          <w:tcPr>
            <w:tcW w:w="1194" w:type="dxa"/>
            <w:vAlign w:val="center"/>
          </w:tcPr>
          <w:p>
            <w:pPr>
              <w:pStyle w:val="15"/>
              <w:spacing w:before="1"/>
              <w:rPr>
                <w:rFonts w:ascii="Times New Roman" w:hAnsi="Times New Roman" w:cs="Times New Roman"/>
                <w:b/>
                <w:sz w:val="21"/>
              </w:rPr>
            </w:pPr>
            <w:r>
              <w:rPr>
                <w:rFonts w:ascii="Times New Roman" w:hAnsi="Times New Roman" w:cs="Times New Roman"/>
                <w:b/>
                <w:sz w:val="21"/>
              </w:rPr>
              <w:t>排放口编号</w:t>
            </w:r>
          </w:p>
        </w:tc>
        <w:tc>
          <w:tcPr>
            <w:tcW w:w="1543" w:type="dxa"/>
            <w:vAlign w:val="center"/>
          </w:tcPr>
          <w:p>
            <w:pPr>
              <w:pStyle w:val="15"/>
              <w:spacing w:before="137" w:line="244" w:lineRule="auto"/>
              <w:ind w:left="388" w:right="168" w:hanging="212"/>
              <w:rPr>
                <w:rFonts w:ascii="Times New Roman" w:hAnsi="Times New Roman" w:cs="Times New Roman"/>
                <w:b/>
                <w:sz w:val="21"/>
              </w:rPr>
            </w:pPr>
            <w:r>
              <w:rPr>
                <w:rFonts w:ascii="Times New Roman" w:hAnsi="Times New Roman" w:cs="Times New Roman"/>
                <w:b/>
                <w:sz w:val="21"/>
              </w:rPr>
              <w:t>监测点位</w:t>
            </w:r>
          </w:p>
        </w:tc>
        <w:tc>
          <w:tcPr>
            <w:tcW w:w="1863" w:type="dxa"/>
            <w:tcBorders>
              <w:bottom w:val="single" w:color="auto" w:sz="4" w:space="0"/>
            </w:tcBorders>
            <w:vAlign w:val="center"/>
          </w:tcPr>
          <w:p>
            <w:pPr>
              <w:pStyle w:val="15"/>
              <w:spacing w:before="137" w:line="244" w:lineRule="auto"/>
              <w:ind w:left="388" w:right="170" w:hanging="212"/>
              <w:rPr>
                <w:rFonts w:ascii="Times New Roman" w:hAnsi="Times New Roman" w:cs="Times New Roman"/>
                <w:b/>
                <w:sz w:val="21"/>
              </w:rPr>
            </w:pPr>
            <w:r>
              <w:rPr>
                <w:rFonts w:ascii="Times New Roman" w:hAnsi="Times New Roman" w:cs="Times New Roman"/>
                <w:b/>
                <w:sz w:val="21"/>
              </w:rPr>
              <w:t>监测项目</w:t>
            </w:r>
          </w:p>
        </w:tc>
        <w:tc>
          <w:tcPr>
            <w:tcW w:w="1101" w:type="dxa"/>
            <w:tcBorders>
              <w:bottom w:val="single" w:color="auto" w:sz="4" w:space="0"/>
            </w:tcBorders>
            <w:vAlign w:val="center"/>
          </w:tcPr>
          <w:p>
            <w:pPr>
              <w:pStyle w:val="15"/>
              <w:spacing w:before="137" w:line="244" w:lineRule="auto"/>
              <w:ind w:left="141" w:right="132"/>
              <w:rPr>
                <w:rFonts w:ascii="Times New Roman" w:hAnsi="Times New Roman" w:cs="Times New Roman"/>
                <w:b/>
                <w:sz w:val="21"/>
              </w:rPr>
            </w:pPr>
            <w:r>
              <w:rPr>
                <w:rFonts w:ascii="Times New Roman" w:hAnsi="Times New Roman" w:cs="Times New Roman"/>
                <w:b/>
                <w:sz w:val="21"/>
              </w:rPr>
              <w:t>监测频次</w:t>
            </w:r>
          </w:p>
        </w:tc>
        <w:tc>
          <w:tcPr>
            <w:tcW w:w="1544" w:type="dxa"/>
            <w:tcBorders>
              <w:bottom w:val="single" w:color="auto" w:sz="4" w:space="0"/>
            </w:tcBorders>
            <w:vAlign w:val="center"/>
          </w:tcPr>
          <w:p>
            <w:pPr>
              <w:pStyle w:val="15"/>
              <w:spacing w:before="137" w:line="244" w:lineRule="auto"/>
              <w:ind w:left="318" w:right="98" w:hanging="212"/>
              <w:rPr>
                <w:rFonts w:ascii="Times New Roman" w:hAnsi="Times New Roman" w:cs="Times New Roman"/>
                <w:b/>
                <w:sz w:val="21"/>
              </w:rPr>
            </w:pPr>
            <w:r>
              <w:rPr>
                <w:rFonts w:ascii="Times New Roman" w:hAnsi="Times New Roman" w:cs="Times New Roman"/>
                <w:b/>
                <w:sz w:val="21"/>
              </w:rPr>
              <w:t>监测方式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574" w:type="dxa"/>
            <w:vMerge w:val="restart"/>
            <w:vAlign w:val="center"/>
          </w:tcPr>
          <w:p>
            <w:pPr>
              <w:pStyle w:val="15"/>
              <w:spacing w:line="242" w:lineRule="auto"/>
              <w:rPr>
                <w:rFonts w:ascii="Times New Roman" w:hAnsi="Times New Roman" w:cs="Times New Roman"/>
                <w:sz w:val="21"/>
              </w:rPr>
            </w:pPr>
            <w:r>
              <w:rPr>
                <w:rFonts w:ascii="Times New Roman" w:hAnsi="Times New Roman" w:cs="Times New Roman"/>
                <w:sz w:val="21"/>
              </w:rPr>
              <w:t>一般排放口</w:t>
            </w:r>
          </w:p>
        </w:tc>
        <w:tc>
          <w:tcPr>
            <w:tcW w:w="1194" w:type="dxa"/>
            <w:vMerge w:val="restart"/>
            <w:vAlign w:val="center"/>
          </w:tcPr>
          <w:p>
            <w:pPr>
              <w:pStyle w:val="15"/>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FQ-01号</w:t>
            </w:r>
          </w:p>
          <w:p>
            <w:pPr>
              <w:pStyle w:val="15"/>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FQ-02号</w:t>
            </w:r>
          </w:p>
          <w:p>
            <w:pPr>
              <w:pStyle w:val="15"/>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FQ-03号</w:t>
            </w:r>
          </w:p>
        </w:tc>
        <w:tc>
          <w:tcPr>
            <w:tcW w:w="1543" w:type="dxa"/>
            <w:vMerge w:val="restart"/>
            <w:vAlign w:val="center"/>
          </w:tcPr>
          <w:p>
            <w:pPr>
              <w:pStyle w:val="15"/>
              <w:spacing w:line="242" w:lineRule="auto"/>
              <w:rPr>
                <w:rFonts w:hint="eastAsia" w:ascii="Times New Roman" w:hAnsi="Times New Roman" w:eastAsia="宋体" w:cs="Times New Roman"/>
                <w:sz w:val="21"/>
                <w:lang w:val="en-US" w:eastAsia="zh-CN"/>
              </w:rPr>
            </w:pPr>
            <w:r>
              <w:rPr>
                <w:rFonts w:ascii="Times New Roman" w:hAnsi="Times New Roman" w:cs="Times New Roman"/>
                <w:sz w:val="21"/>
              </w:rPr>
              <w:t>天然气锅炉排口</w:t>
            </w:r>
          </w:p>
        </w:tc>
        <w:tc>
          <w:tcPr>
            <w:tcW w:w="1863" w:type="dxa"/>
            <w:tcBorders>
              <w:bottom w:val="single" w:color="auto" w:sz="4" w:space="0"/>
            </w:tcBorders>
            <w:vAlign w:val="center"/>
          </w:tcPr>
          <w:p>
            <w:pPr>
              <w:pStyle w:val="15"/>
              <w:spacing w:line="242" w:lineRule="auto"/>
              <w:ind w:hanging="209"/>
              <w:rPr>
                <w:rFonts w:ascii="Times New Roman" w:hAnsi="Times New Roman" w:cs="Times New Roman"/>
                <w:sz w:val="21"/>
              </w:rPr>
            </w:pPr>
            <w:r>
              <w:rPr>
                <w:rFonts w:ascii="Times New Roman" w:hAnsi="Times New Roman" w:cs="Times New Roman"/>
                <w:sz w:val="21"/>
              </w:rPr>
              <w:t>氮氧化物</w:t>
            </w:r>
          </w:p>
        </w:tc>
        <w:tc>
          <w:tcPr>
            <w:tcW w:w="1101" w:type="dxa"/>
            <w:tcBorders>
              <w:bottom w:val="single" w:color="auto" w:sz="4" w:space="0"/>
            </w:tcBorders>
            <w:vAlign w:val="center"/>
          </w:tcPr>
          <w:p>
            <w:pPr>
              <w:pStyle w:val="15"/>
              <w:spacing w:line="285" w:lineRule="auto"/>
              <w:ind w:hanging="106"/>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 xml:space="preserve">/ </w:t>
            </w:r>
            <w:r>
              <w:rPr>
                <w:rFonts w:ascii="Times New Roman" w:hAnsi="Times New Roman" w:cs="Times New Roman"/>
                <w:sz w:val="21"/>
              </w:rPr>
              <w:t>月</w:t>
            </w:r>
          </w:p>
        </w:tc>
        <w:tc>
          <w:tcPr>
            <w:tcW w:w="1544" w:type="dxa"/>
            <w:tcBorders>
              <w:bottom w:val="single" w:color="auto" w:sz="4" w:space="0"/>
            </w:tcBorders>
            <w:vAlign w:val="center"/>
          </w:tcPr>
          <w:p>
            <w:pPr>
              <w:pStyle w:val="15"/>
              <w:spacing w:line="285" w:lineRule="auto"/>
              <w:ind w:hanging="209"/>
              <w:rPr>
                <w:rFonts w:ascii="Times New Roman" w:hAnsi="Times New Roman" w:cs="Times New Roman"/>
                <w:sz w:val="21"/>
              </w:rPr>
            </w:pPr>
            <w:r>
              <w:rPr>
                <w:rFonts w:ascii="Times New Roman" w:hAnsi="Times New Roman" w:cs="Times New Roman"/>
                <w:sz w:val="21"/>
              </w:rPr>
              <w:t>手工监测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574" w:type="dxa"/>
            <w:vMerge w:val="continue"/>
            <w:vAlign w:val="center"/>
          </w:tcPr>
          <w:p>
            <w:pPr>
              <w:pStyle w:val="15"/>
              <w:rPr>
                <w:rFonts w:ascii="Times New Roman" w:hAnsi="Times New Roman" w:cs="Times New Roman"/>
                <w:b/>
                <w:sz w:val="20"/>
              </w:rPr>
            </w:pPr>
          </w:p>
        </w:tc>
        <w:tc>
          <w:tcPr>
            <w:tcW w:w="1194" w:type="dxa"/>
            <w:vMerge w:val="continue"/>
            <w:vAlign w:val="center"/>
          </w:tcPr>
          <w:p>
            <w:pPr>
              <w:pStyle w:val="15"/>
              <w:rPr>
                <w:rFonts w:ascii="Times New Roman" w:hAnsi="Times New Roman" w:cs="Times New Roman"/>
                <w:b/>
              </w:rPr>
            </w:pPr>
          </w:p>
        </w:tc>
        <w:tc>
          <w:tcPr>
            <w:tcW w:w="1543" w:type="dxa"/>
            <w:vMerge w:val="continue"/>
            <w:vAlign w:val="center"/>
          </w:tcPr>
          <w:p>
            <w:pPr>
              <w:pStyle w:val="15"/>
              <w:rPr>
                <w:rFonts w:ascii="Times New Roman" w:hAnsi="Times New Roman" w:cs="Times New Roman"/>
                <w:b/>
                <w:sz w:val="20"/>
              </w:rPr>
            </w:pPr>
          </w:p>
        </w:tc>
        <w:tc>
          <w:tcPr>
            <w:tcW w:w="1863" w:type="dxa"/>
            <w:tcBorders>
              <w:top w:val="single" w:color="auto" w:sz="4" w:space="0"/>
            </w:tcBorders>
            <w:vAlign w:val="center"/>
          </w:tcPr>
          <w:p>
            <w:pPr>
              <w:pStyle w:val="15"/>
              <w:spacing w:line="242" w:lineRule="auto"/>
              <w:ind w:hanging="209"/>
              <w:rPr>
                <w:rFonts w:ascii="Times New Roman" w:hAnsi="Times New Roman" w:cs="Times New Roman"/>
                <w:b/>
                <w:sz w:val="16"/>
              </w:rPr>
            </w:pPr>
            <w:r>
              <w:rPr>
                <w:rFonts w:ascii="Times New Roman" w:hAnsi="Times New Roman" w:cs="Times New Roman"/>
                <w:sz w:val="21"/>
              </w:rPr>
              <w:t>颗粒物</w:t>
            </w:r>
          </w:p>
        </w:tc>
        <w:tc>
          <w:tcPr>
            <w:tcW w:w="1101" w:type="dxa"/>
            <w:vMerge w:val="restart"/>
            <w:tcBorders>
              <w:top w:val="single" w:color="auto" w:sz="4" w:space="0"/>
            </w:tcBorders>
            <w:vAlign w:val="center"/>
          </w:tcPr>
          <w:p>
            <w:pPr>
              <w:pStyle w:val="15"/>
              <w:spacing w:line="285" w:lineRule="auto"/>
              <w:ind w:hanging="106"/>
              <w:rPr>
                <w:rFonts w:ascii="Times New Roman" w:hAnsi="Times New Roman" w:cs="Times New Roman"/>
                <w:b/>
                <w:sz w:val="16"/>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 xml:space="preserve">/ </w:t>
            </w:r>
            <w:r>
              <w:rPr>
                <w:rFonts w:ascii="Times New Roman" w:hAnsi="Times New Roman" w:cs="Times New Roman"/>
                <w:sz w:val="21"/>
              </w:rPr>
              <w:t>年</w:t>
            </w:r>
          </w:p>
        </w:tc>
        <w:tc>
          <w:tcPr>
            <w:tcW w:w="1544" w:type="dxa"/>
            <w:vMerge w:val="restart"/>
            <w:tcBorders>
              <w:top w:val="single" w:color="auto" w:sz="4" w:space="0"/>
            </w:tcBorders>
            <w:vAlign w:val="center"/>
          </w:tcPr>
          <w:p>
            <w:pPr>
              <w:pStyle w:val="15"/>
              <w:spacing w:line="285" w:lineRule="auto"/>
              <w:ind w:hanging="209"/>
              <w:rPr>
                <w:rFonts w:ascii="Times New Roman" w:hAnsi="Times New Roman" w:cs="Times New Roman"/>
                <w:b/>
                <w:sz w:val="16"/>
              </w:rPr>
            </w:pPr>
            <w:r>
              <w:rPr>
                <w:rFonts w:ascii="Times New Roman" w:hAnsi="Times New Roman" w:cs="Times New Roman"/>
                <w:sz w:val="21"/>
              </w:rPr>
              <w:t>手工监测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74" w:type="dxa"/>
            <w:vMerge w:val="continue"/>
          </w:tcPr>
          <w:p>
            <w:pPr>
              <w:rPr>
                <w:rFonts w:ascii="Times New Roman" w:hAnsi="Times New Roman" w:cs="Times New Roman"/>
                <w:sz w:val="2"/>
                <w:szCs w:val="2"/>
              </w:rPr>
            </w:pPr>
          </w:p>
        </w:tc>
        <w:tc>
          <w:tcPr>
            <w:tcW w:w="1194" w:type="dxa"/>
            <w:vMerge w:val="continue"/>
          </w:tcPr>
          <w:p>
            <w:pPr>
              <w:rPr>
                <w:rFonts w:ascii="Times New Roman" w:hAnsi="Times New Roman" w:cs="Times New Roman"/>
                <w:sz w:val="2"/>
                <w:szCs w:val="2"/>
              </w:rPr>
            </w:pPr>
          </w:p>
        </w:tc>
        <w:tc>
          <w:tcPr>
            <w:tcW w:w="1543" w:type="dxa"/>
            <w:vMerge w:val="continue"/>
          </w:tcPr>
          <w:p>
            <w:pPr>
              <w:rPr>
                <w:rFonts w:ascii="Times New Roman" w:hAnsi="Times New Roman" w:cs="Times New Roman"/>
                <w:sz w:val="2"/>
                <w:szCs w:val="2"/>
              </w:rPr>
            </w:pPr>
          </w:p>
        </w:tc>
        <w:tc>
          <w:tcPr>
            <w:tcW w:w="1863" w:type="dxa"/>
            <w:tcBorders>
              <w:bottom w:val="single" w:color="auto" w:sz="4" w:space="0"/>
            </w:tcBorders>
            <w:vAlign w:val="center"/>
          </w:tcPr>
          <w:p>
            <w:pPr>
              <w:pStyle w:val="15"/>
              <w:spacing w:line="242" w:lineRule="auto"/>
              <w:rPr>
                <w:rFonts w:ascii="Times New Roman" w:hAnsi="Times New Roman" w:cs="Times New Roman"/>
                <w:sz w:val="21"/>
              </w:rPr>
            </w:pPr>
            <w:r>
              <w:rPr>
                <w:rFonts w:ascii="Times New Roman" w:hAnsi="Times New Roman" w:cs="Times New Roman"/>
                <w:sz w:val="21"/>
              </w:rPr>
              <w:t>二氧化硫</w:t>
            </w:r>
          </w:p>
        </w:tc>
        <w:tc>
          <w:tcPr>
            <w:tcW w:w="1101" w:type="dxa"/>
            <w:vMerge w:val="continue"/>
          </w:tcPr>
          <w:p>
            <w:pPr>
              <w:pStyle w:val="15"/>
              <w:spacing w:line="285" w:lineRule="auto"/>
              <w:ind w:left="246" w:right="126" w:hanging="106"/>
              <w:jc w:val="left"/>
              <w:rPr>
                <w:rFonts w:ascii="Times New Roman" w:hAnsi="Times New Roman" w:cs="Times New Roman"/>
                <w:sz w:val="21"/>
              </w:rPr>
            </w:pPr>
          </w:p>
        </w:tc>
        <w:tc>
          <w:tcPr>
            <w:tcW w:w="1544" w:type="dxa"/>
            <w:vMerge w:val="continue"/>
          </w:tcPr>
          <w:p>
            <w:pPr>
              <w:pStyle w:val="15"/>
              <w:spacing w:line="285" w:lineRule="auto"/>
              <w:ind w:left="318" w:right="96" w:hanging="209"/>
              <w:jc w:val="left"/>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574" w:type="dxa"/>
            <w:vMerge w:val="continue"/>
          </w:tcPr>
          <w:p>
            <w:pPr>
              <w:rPr>
                <w:rFonts w:ascii="Times New Roman" w:hAnsi="Times New Roman" w:cs="Times New Roman"/>
                <w:sz w:val="2"/>
                <w:szCs w:val="2"/>
              </w:rPr>
            </w:pPr>
          </w:p>
        </w:tc>
        <w:tc>
          <w:tcPr>
            <w:tcW w:w="1194" w:type="dxa"/>
            <w:vMerge w:val="continue"/>
          </w:tcPr>
          <w:p>
            <w:pPr>
              <w:rPr>
                <w:rFonts w:ascii="Times New Roman" w:hAnsi="Times New Roman" w:cs="Times New Roman"/>
                <w:sz w:val="2"/>
                <w:szCs w:val="2"/>
              </w:rPr>
            </w:pPr>
          </w:p>
        </w:tc>
        <w:tc>
          <w:tcPr>
            <w:tcW w:w="1543" w:type="dxa"/>
            <w:vMerge w:val="continue"/>
          </w:tcPr>
          <w:p>
            <w:pPr>
              <w:rPr>
                <w:rFonts w:ascii="Times New Roman" w:hAnsi="Times New Roman" w:cs="Times New Roman"/>
                <w:sz w:val="2"/>
                <w:szCs w:val="2"/>
              </w:rPr>
            </w:pPr>
          </w:p>
        </w:tc>
        <w:tc>
          <w:tcPr>
            <w:tcW w:w="1863" w:type="dxa"/>
            <w:tcBorders>
              <w:top w:val="single" w:color="auto" w:sz="4" w:space="0"/>
              <w:bottom w:val="single" w:color="auto" w:sz="4" w:space="0"/>
            </w:tcBorders>
            <w:vAlign w:val="center"/>
          </w:tcPr>
          <w:p>
            <w:pPr>
              <w:pStyle w:val="15"/>
              <w:spacing w:line="242" w:lineRule="auto"/>
              <w:rPr>
                <w:rFonts w:ascii="Times New Roman" w:hAnsi="Times New Roman" w:cs="Times New Roman"/>
                <w:sz w:val="21"/>
              </w:rPr>
            </w:pPr>
            <w:r>
              <w:rPr>
                <w:rFonts w:ascii="Times New Roman" w:hAnsi="Times New Roman" w:cs="Times New Roman"/>
                <w:sz w:val="21"/>
              </w:rPr>
              <w:t>格林曼黑度</w:t>
            </w:r>
          </w:p>
        </w:tc>
        <w:tc>
          <w:tcPr>
            <w:tcW w:w="1101" w:type="dxa"/>
            <w:vMerge w:val="continue"/>
          </w:tcPr>
          <w:p>
            <w:pPr>
              <w:pStyle w:val="15"/>
              <w:spacing w:before="3"/>
              <w:jc w:val="left"/>
              <w:rPr>
                <w:rFonts w:ascii="Times New Roman" w:hAnsi="Times New Roman" w:cs="Times New Roman"/>
                <w:b/>
                <w:sz w:val="21"/>
              </w:rPr>
            </w:pPr>
          </w:p>
        </w:tc>
        <w:tc>
          <w:tcPr>
            <w:tcW w:w="1544" w:type="dxa"/>
            <w:vMerge w:val="continue"/>
          </w:tcPr>
          <w:p>
            <w:pPr>
              <w:pStyle w:val="15"/>
              <w:spacing w:before="3"/>
              <w:jc w:val="left"/>
              <w:rPr>
                <w:rFonts w:ascii="Times New Roman" w:hAnsi="Times New Roman"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574" w:type="dxa"/>
            <w:vMerge w:val="restart"/>
            <w:vAlign w:val="center"/>
          </w:tcPr>
          <w:p>
            <w:pPr>
              <w:jc w:val="center"/>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一般排放口</w:t>
            </w:r>
          </w:p>
        </w:tc>
        <w:tc>
          <w:tcPr>
            <w:tcW w:w="1194" w:type="dxa"/>
            <w:vMerge w:val="restart"/>
            <w:vAlign w:val="center"/>
          </w:tcPr>
          <w:p>
            <w:pPr>
              <w:pStyle w:val="15"/>
              <w:jc w:val="center"/>
              <w:rPr>
                <w:rFonts w:hint="default"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FQ-04</w:t>
            </w:r>
            <w:r>
              <w:rPr>
                <w:rFonts w:hint="eastAsia" w:ascii="Times New Roman" w:hAnsi="Times New Roman" w:cs="Times New Roman"/>
                <w:sz w:val="21"/>
                <w:szCs w:val="22"/>
                <w:lang w:val="en-US" w:eastAsia="zh-CN" w:bidi="zh-CN"/>
              </w:rPr>
              <w:t>号</w:t>
            </w:r>
          </w:p>
        </w:tc>
        <w:tc>
          <w:tcPr>
            <w:tcW w:w="1543" w:type="dxa"/>
            <w:vMerge w:val="restart"/>
            <w:vAlign w:val="center"/>
          </w:tcPr>
          <w:p>
            <w:pPr>
              <w:bidi w:val="0"/>
              <w:jc w:val="both"/>
              <w:rPr>
                <w:rFonts w:hint="default"/>
                <w:lang w:val="en-US" w:eastAsia="zh-CN"/>
              </w:rPr>
            </w:pPr>
            <w:r>
              <w:rPr>
                <w:rFonts w:hint="eastAsia"/>
                <w:lang w:val="en-US" w:eastAsia="zh-CN"/>
              </w:rPr>
              <w:t>污水站有组织废气排口</w:t>
            </w:r>
          </w:p>
        </w:tc>
        <w:tc>
          <w:tcPr>
            <w:tcW w:w="1863" w:type="dxa"/>
            <w:tcBorders>
              <w:top w:val="single" w:color="auto" w:sz="4" w:space="0"/>
              <w:bottom w:val="single" w:color="auto" w:sz="4" w:space="0"/>
            </w:tcBorders>
            <w:vAlign w:val="center"/>
          </w:tcPr>
          <w:p>
            <w:pPr>
              <w:pStyle w:val="15"/>
              <w:spacing w:line="242" w:lineRule="auto"/>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氨气</w:t>
            </w:r>
          </w:p>
        </w:tc>
        <w:tc>
          <w:tcPr>
            <w:tcW w:w="1101" w:type="dxa"/>
            <w:vMerge w:val="restart"/>
            <w:vAlign w:val="center"/>
          </w:tcPr>
          <w:p>
            <w:pPr>
              <w:pStyle w:val="15"/>
              <w:spacing w:before="3"/>
              <w:jc w:val="center"/>
              <w:rPr>
                <w:rFonts w:hint="eastAsia" w:ascii="Times New Roman" w:hAnsi="Times New Roman" w:eastAsia="宋体" w:cs="Times New Roman"/>
                <w:b/>
                <w:sz w:val="21"/>
                <w:lang w:eastAsia="zh-CN"/>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 xml:space="preserve">/ </w:t>
            </w:r>
            <w:r>
              <w:rPr>
                <w:rFonts w:hint="eastAsia" w:ascii="Times New Roman" w:hAnsi="Times New Roman" w:cs="Times New Roman"/>
                <w:sz w:val="21"/>
                <w:lang w:val="en-US" w:eastAsia="zh-CN"/>
              </w:rPr>
              <w:t>季</w:t>
            </w:r>
          </w:p>
        </w:tc>
        <w:tc>
          <w:tcPr>
            <w:tcW w:w="1544" w:type="dxa"/>
            <w:vMerge w:val="restart"/>
            <w:vAlign w:val="center"/>
          </w:tcPr>
          <w:p>
            <w:pPr>
              <w:pStyle w:val="15"/>
              <w:spacing w:before="3"/>
              <w:jc w:val="center"/>
              <w:rPr>
                <w:rFonts w:ascii="Times New Roman" w:hAnsi="Times New Roman" w:cs="Times New Roman"/>
                <w:b/>
                <w:sz w:val="21"/>
              </w:rPr>
            </w:pPr>
            <w:r>
              <w:rPr>
                <w:rFonts w:ascii="Times New Roman" w:hAnsi="Times New Roman" w:cs="Times New Roman"/>
                <w:sz w:val="21"/>
              </w:rPr>
              <w:t>手工监测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574" w:type="dxa"/>
            <w:vMerge w:val="continue"/>
          </w:tcPr>
          <w:p>
            <w:pPr>
              <w:rPr>
                <w:rFonts w:ascii="Times New Roman" w:hAnsi="Times New Roman" w:cs="Times New Roman"/>
                <w:sz w:val="2"/>
                <w:szCs w:val="2"/>
              </w:rPr>
            </w:pPr>
          </w:p>
        </w:tc>
        <w:tc>
          <w:tcPr>
            <w:tcW w:w="1194" w:type="dxa"/>
            <w:vMerge w:val="continue"/>
          </w:tcPr>
          <w:p>
            <w:pPr>
              <w:rPr>
                <w:rFonts w:ascii="Times New Roman" w:hAnsi="Times New Roman" w:cs="Times New Roman"/>
                <w:sz w:val="2"/>
                <w:szCs w:val="2"/>
              </w:rPr>
            </w:pPr>
          </w:p>
        </w:tc>
        <w:tc>
          <w:tcPr>
            <w:tcW w:w="1543" w:type="dxa"/>
            <w:vMerge w:val="continue"/>
          </w:tcPr>
          <w:p>
            <w:pPr>
              <w:rPr>
                <w:rFonts w:ascii="Times New Roman" w:hAnsi="Times New Roman" w:cs="Times New Roman"/>
                <w:sz w:val="2"/>
                <w:szCs w:val="2"/>
              </w:rPr>
            </w:pPr>
          </w:p>
        </w:tc>
        <w:tc>
          <w:tcPr>
            <w:tcW w:w="1863" w:type="dxa"/>
            <w:tcBorders>
              <w:top w:val="single" w:color="auto" w:sz="4" w:space="0"/>
              <w:bottom w:val="single" w:color="auto" w:sz="4" w:space="0"/>
            </w:tcBorders>
            <w:vAlign w:val="center"/>
          </w:tcPr>
          <w:p>
            <w:pPr>
              <w:pStyle w:val="15"/>
              <w:spacing w:line="242" w:lineRule="auto"/>
              <w:jc w:val="center"/>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硫化氢</w:t>
            </w:r>
          </w:p>
        </w:tc>
        <w:tc>
          <w:tcPr>
            <w:tcW w:w="1101" w:type="dxa"/>
            <w:vMerge w:val="continue"/>
            <w:vAlign w:val="center"/>
          </w:tcPr>
          <w:p>
            <w:pPr>
              <w:pStyle w:val="15"/>
              <w:spacing w:before="3"/>
              <w:jc w:val="center"/>
              <w:rPr>
                <w:rFonts w:ascii="Times New Roman" w:hAnsi="Times New Roman" w:cs="Times New Roman"/>
                <w:b/>
                <w:sz w:val="21"/>
              </w:rPr>
            </w:pPr>
          </w:p>
        </w:tc>
        <w:tc>
          <w:tcPr>
            <w:tcW w:w="1544" w:type="dxa"/>
            <w:vMerge w:val="continue"/>
            <w:vAlign w:val="center"/>
          </w:tcPr>
          <w:p>
            <w:pPr>
              <w:pStyle w:val="15"/>
              <w:spacing w:before="3"/>
              <w:jc w:val="center"/>
              <w:rPr>
                <w:rFonts w:ascii="Times New Roman" w:hAnsi="Times New Roman"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574" w:type="dxa"/>
            <w:vMerge w:val="continue"/>
          </w:tcPr>
          <w:p>
            <w:pPr>
              <w:rPr>
                <w:rFonts w:ascii="Times New Roman" w:hAnsi="Times New Roman" w:cs="Times New Roman"/>
                <w:sz w:val="2"/>
                <w:szCs w:val="2"/>
              </w:rPr>
            </w:pPr>
          </w:p>
        </w:tc>
        <w:tc>
          <w:tcPr>
            <w:tcW w:w="1194" w:type="dxa"/>
            <w:vMerge w:val="continue"/>
          </w:tcPr>
          <w:p>
            <w:pPr>
              <w:rPr>
                <w:rFonts w:ascii="Times New Roman" w:hAnsi="Times New Roman" w:cs="Times New Roman"/>
                <w:sz w:val="2"/>
                <w:szCs w:val="2"/>
              </w:rPr>
            </w:pPr>
          </w:p>
        </w:tc>
        <w:tc>
          <w:tcPr>
            <w:tcW w:w="1543" w:type="dxa"/>
            <w:vMerge w:val="continue"/>
          </w:tcPr>
          <w:p>
            <w:pPr>
              <w:rPr>
                <w:rFonts w:ascii="Times New Roman" w:hAnsi="Times New Roman" w:cs="Times New Roman"/>
                <w:sz w:val="2"/>
                <w:szCs w:val="2"/>
              </w:rPr>
            </w:pPr>
          </w:p>
        </w:tc>
        <w:tc>
          <w:tcPr>
            <w:tcW w:w="1863" w:type="dxa"/>
            <w:tcBorders>
              <w:top w:val="single" w:color="auto" w:sz="4" w:space="0"/>
              <w:bottom w:val="single" w:color="auto" w:sz="4" w:space="0"/>
            </w:tcBorders>
            <w:vAlign w:val="center"/>
          </w:tcPr>
          <w:p>
            <w:pPr>
              <w:pStyle w:val="15"/>
              <w:spacing w:line="242" w:lineRule="auto"/>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臭气浓度</w:t>
            </w:r>
          </w:p>
        </w:tc>
        <w:tc>
          <w:tcPr>
            <w:tcW w:w="1101" w:type="dxa"/>
            <w:vMerge w:val="continue"/>
            <w:vAlign w:val="center"/>
          </w:tcPr>
          <w:p>
            <w:pPr>
              <w:pStyle w:val="15"/>
              <w:spacing w:before="3"/>
              <w:jc w:val="left"/>
              <w:rPr>
                <w:rFonts w:ascii="Times New Roman" w:hAnsi="Times New Roman" w:cs="Times New Roman"/>
                <w:b/>
                <w:sz w:val="21"/>
              </w:rPr>
            </w:pPr>
          </w:p>
        </w:tc>
        <w:tc>
          <w:tcPr>
            <w:tcW w:w="1544" w:type="dxa"/>
            <w:vMerge w:val="continue"/>
            <w:vAlign w:val="center"/>
          </w:tcPr>
          <w:p>
            <w:pPr>
              <w:pStyle w:val="15"/>
              <w:spacing w:before="3"/>
              <w:jc w:val="left"/>
              <w:rPr>
                <w:rFonts w:ascii="Times New Roman" w:hAnsi="Times New Roman" w:cs="Times New Roman"/>
                <w:b/>
                <w:sz w:val="21"/>
              </w:rPr>
            </w:pPr>
          </w:p>
        </w:tc>
      </w:tr>
    </w:tbl>
    <w:p>
      <w:pPr>
        <w:pStyle w:val="2"/>
        <w:ind w:firstLine="480"/>
        <w:rPr>
          <w:rFonts w:ascii="Times New Roman" w:hAnsi="Times New Roman" w:cs="Times New Roman"/>
        </w:rPr>
      </w:pPr>
      <w:r>
        <w:rPr>
          <w:rFonts w:ascii="Times New Roman" w:hAnsi="Times New Roman" w:cs="Times New Roman"/>
        </w:rPr>
        <w:t>2、废气有组织排放监测方法及依据情况见表 2。</w:t>
      </w:r>
    </w:p>
    <w:p>
      <w:pPr>
        <w:pStyle w:val="2"/>
        <w:ind w:firstLine="480"/>
        <w:rPr>
          <w:rFonts w:ascii="Times New Roman" w:hAnsi="Times New Roman" w:cs="Times New Roman"/>
        </w:rPr>
      </w:pPr>
      <w:r>
        <w:rPr>
          <w:rFonts w:ascii="Times New Roman" w:hAnsi="Times New Roman" w:cs="Times New Roman"/>
        </w:rPr>
        <w:t>（1）手工监测依据《固定污染源排气中颗粒物测定与气态污染物采样方法》（GB/T 16157-1996）、《固定源废气监测技术规范》》（HJ/T 397-2007）。</w:t>
      </w:r>
    </w:p>
    <w:p>
      <w:pPr>
        <w:pStyle w:val="2"/>
        <w:ind w:firstLine="480"/>
        <w:rPr>
          <w:rFonts w:ascii="Times New Roman" w:hAnsi="Times New Roman" w:cs="Times New Roman"/>
        </w:rPr>
      </w:pPr>
      <w:r>
        <w:rPr>
          <w:rFonts w:ascii="Times New Roman" w:hAnsi="Times New Roman" w:cs="Times New Roman"/>
        </w:rPr>
        <w:t>（2）各监测项目具体分析监测分析方法见表 2。</w:t>
      </w:r>
    </w:p>
    <w:p>
      <w:pPr>
        <w:pStyle w:val="20"/>
        <w:rPr>
          <w:rFonts w:cs="Times New Roman"/>
        </w:rPr>
      </w:pPr>
      <w:r>
        <w:rPr>
          <w:rFonts w:cs="Times New Roman"/>
        </w:rPr>
        <w:t>表 2</w:t>
      </w:r>
      <w:r>
        <w:rPr>
          <w:rFonts w:cs="Times New Roman"/>
        </w:rPr>
        <w:tab/>
      </w:r>
      <w:r>
        <w:rPr>
          <w:rFonts w:cs="Times New Roman"/>
        </w:rPr>
        <w:t>废气有组织排放手工监测方法及依据一览表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83"/>
        <w:gridCol w:w="4900"/>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tcPr>
          <w:p>
            <w:pPr>
              <w:widowControl w:val="0"/>
              <w:autoSpaceDE/>
              <w:autoSpaceDN/>
              <w:spacing w:before="94" w:line="242" w:lineRule="auto"/>
              <w:jc w:val="center"/>
              <w:outlineLvl w:val="2"/>
              <w:rPr>
                <w:rFonts w:ascii="Times New Roman" w:hAnsi="Times New Roman" w:cs="Times New Roman"/>
                <w:b/>
                <w:bCs/>
                <w:spacing w:val="8"/>
                <w:sz w:val="21"/>
                <w:szCs w:val="21"/>
                <w:lang w:val="en-US"/>
              </w:rPr>
            </w:pPr>
            <w:r>
              <w:rPr>
                <w:rFonts w:ascii="Times New Roman" w:hAnsi="Times New Roman" w:cs="Times New Roman"/>
                <w:b/>
                <w:bCs/>
                <w:spacing w:val="8"/>
                <w:sz w:val="21"/>
                <w:szCs w:val="21"/>
                <w:lang w:val="en-US"/>
              </w:rPr>
              <w:t>序号</w:t>
            </w:r>
          </w:p>
        </w:tc>
        <w:tc>
          <w:tcPr>
            <w:tcW w:w="1683" w:type="dxa"/>
          </w:tcPr>
          <w:p>
            <w:pPr>
              <w:widowControl w:val="0"/>
              <w:autoSpaceDE/>
              <w:autoSpaceDN/>
              <w:spacing w:before="94" w:line="242" w:lineRule="auto"/>
              <w:jc w:val="center"/>
              <w:outlineLvl w:val="2"/>
              <w:rPr>
                <w:rFonts w:ascii="Times New Roman" w:hAnsi="Times New Roman" w:cs="Times New Roman"/>
                <w:b/>
                <w:bCs/>
                <w:spacing w:val="8"/>
                <w:sz w:val="21"/>
                <w:szCs w:val="21"/>
                <w:lang w:val="en-US"/>
              </w:rPr>
            </w:pPr>
            <w:r>
              <w:rPr>
                <w:rFonts w:ascii="Times New Roman" w:hAnsi="Times New Roman" w:cs="Times New Roman"/>
                <w:b/>
                <w:bCs/>
                <w:spacing w:val="8"/>
                <w:sz w:val="21"/>
                <w:szCs w:val="21"/>
                <w:lang w:val="en-US"/>
              </w:rPr>
              <w:t>监测项目</w:t>
            </w:r>
          </w:p>
        </w:tc>
        <w:tc>
          <w:tcPr>
            <w:tcW w:w="4900" w:type="dxa"/>
          </w:tcPr>
          <w:p>
            <w:pPr>
              <w:widowControl w:val="0"/>
              <w:autoSpaceDE/>
              <w:autoSpaceDN/>
              <w:spacing w:before="94" w:line="242" w:lineRule="auto"/>
              <w:jc w:val="center"/>
              <w:outlineLvl w:val="2"/>
              <w:rPr>
                <w:rFonts w:ascii="Times New Roman" w:hAnsi="Times New Roman" w:cs="Times New Roman"/>
                <w:b/>
                <w:bCs/>
                <w:spacing w:val="8"/>
                <w:sz w:val="21"/>
                <w:szCs w:val="21"/>
                <w:lang w:val="en-US"/>
              </w:rPr>
            </w:pPr>
            <w:r>
              <w:rPr>
                <w:rFonts w:ascii="Times New Roman" w:hAnsi="Times New Roman" w:cs="Times New Roman"/>
                <w:b/>
                <w:bCs/>
                <w:spacing w:val="8"/>
                <w:sz w:val="21"/>
                <w:szCs w:val="21"/>
                <w:lang w:val="en-US"/>
              </w:rPr>
              <w:t>监测方法及依据</w:t>
            </w:r>
          </w:p>
        </w:tc>
        <w:tc>
          <w:tcPr>
            <w:tcW w:w="961" w:type="dxa"/>
          </w:tcPr>
          <w:p>
            <w:pPr>
              <w:widowControl w:val="0"/>
              <w:autoSpaceDE/>
              <w:autoSpaceDN/>
              <w:spacing w:before="94" w:line="242" w:lineRule="auto"/>
              <w:jc w:val="center"/>
              <w:outlineLvl w:val="2"/>
              <w:rPr>
                <w:rFonts w:ascii="Times New Roman" w:hAnsi="Times New Roman" w:cs="Times New Roman"/>
                <w:b/>
                <w:bCs/>
                <w:spacing w:val="8"/>
                <w:sz w:val="21"/>
                <w:szCs w:val="21"/>
                <w:lang w:val="en-US"/>
              </w:rPr>
            </w:pPr>
            <w:r>
              <w:rPr>
                <w:rFonts w:ascii="Times New Roman" w:hAnsi="Times New Roman" w:cs="Times New Roman"/>
                <w:b/>
                <w:bCs/>
                <w:spacing w:val="8"/>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Align w:val="center"/>
          </w:tcPr>
          <w:p>
            <w:pPr>
              <w:widowControl w:val="0"/>
              <w:autoSpaceDE/>
              <w:autoSpaceDN/>
              <w:spacing w:before="94" w:line="242" w:lineRule="auto"/>
              <w:jc w:val="center"/>
              <w:outlineLvl w:val="2"/>
              <w:rPr>
                <w:rFonts w:ascii="Times New Roman" w:hAnsi="Times New Roman" w:cs="Times New Roman"/>
                <w:spacing w:val="8"/>
                <w:sz w:val="21"/>
                <w:szCs w:val="21"/>
                <w:lang w:val="en-US"/>
              </w:rPr>
            </w:pPr>
            <w:r>
              <w:rPr>
                <w:rFonts w:ascii="Times New Roman" w:hAnsi="Times New Roman" w:cs="Times New Roman"/>
                <w:spacing w:val="8"/>
                <w:sz w:val="21"/>
                <w:szCs w:val="21"/>
                <w:lang w:val="en-US"/>
              </w:rPr>
              <w:t>1</w:t>
            </w:r>
          </w:p>
        </w:tc>
        <w:tc>
          <w:tcPr>
            <w:tcW w:w="1683" w:type="dxa"/>
            <w:vAlign w:val="center"/>
          </w:tcPr>
          <w:p>
            <w:pPr>
              <w:widowControl w:val="0"/>
              <w:autoSpaceDE/>
              <w:autoSpaceDN/>
              <w:spacing w:before="94" w:line="242" w:lineRule="auto"/>
              <w:jc w:val="center"/>
              <w:outlineLvl w:val="2"/>
              <w:rPr>
                <w:rFonts w:ascii="Times New Roman" w:hAnsi="Times New Roman" w:cs="Times New Roman"/>
                <w:spacing w:val="8"/>
                <w:sz w:val="21"/>
                <w:szCs w:val="21"/>
                <w:lang w:val="en-US"/>
              </w:rPr>
            </w:pPr>
            <w:r>
              <w:rPr>
                <w:rFonts w:ascii="Times New Roman" w:hAnsi="Times New Roman" w:cs="Times New Roman"/>
                <w:spacing w:val="8"/>
                <w:sz w:val="21"/>
                <w:szCs w:val="21"/>
                <w:lang w:val="en-US"/>
              </w:rPr>
              <w:t>氮氧化物</w:t>
            </w:r>
          </w:p>
        </w:tc>
        <w:tc>
          <w:tcPr>
            <w:tcW w:w="4900" w:type="dxa"/>
            <w:vAlign w:val="center"/>
          </w:tcPr>
          <w:p>
            <w:pPr>
              <w:widowControl w:val="0"/>
              <w:autoSpaceDE/>
              <w:autoSpaceDN/>
              <w:spacing w:before="67" w:line="195" w:lineRule="auto"/>
              <w:jc w:val="center"/>
              <w:rPr>
                <w:rFonts w:ascii="Times New Roman" w:hAnsi="Times New Roman" w:cs="Times New Roman"/>
                <w:spacing w:val="8"/>
                <w:sz w:val="21"/>
                <w:szCs w:val="21"/>
                <w:lang w:val="en-US"/>
              </w:rPr>
            </w:pPr>
            <w:r>
              <w:rPr>
                <w:rFonts w:ascii="Times New Roman" w:hAnsi="Times New Roman" w:cs="Times New Roman"/>
                <w:sz w:val="21"/>
                <w:szCs w:val="21"/>
              </w:rPr>
              <w:t>《固定污染源废气</w:t>
            </w:r>
            <w:r>
              <w:rPr>
                <w:rFonts w:ascii="Times New Roman" w:hAnsi="Times New Roman" w:cs="Times New Roman"/>
                <w:sz w:val="21"/>
                <w:szCs w:val="21"/>
                <w:lang w:val="en-US"/>
              </w:rPr>
              <w:t xml:space="preserve">  </w:t>
            </w:r>
            <w:r>
              <w:rPr>
                <w:rFonts w:ascii="Times New Roman" w:hAnsi="Times New Roman" w:cs="Times New Roman"/>
                <w:sz w:val="21"/>
                <w:szCs w:val="21"/>
              </w:rPr>
              <w:t>氮氧化物的测定</w:t>
            </w:r>
            <w:r>
              <w:rPr>
                <w:rFonts w:ascii="Times New Roman" w:hAnsi="Times New Roman" w:cs="Times New Roman"/>
                <w:sz w:val="21"/>
                <w:szCs w:val="21"/>
                <w:lang w:val="en-US"/>
              </w:rPr>
              <w:t xml:space="preserve">  </w:t>
            </w:r>
            <w:r>
              <w:rPr>
                <w:rFonts w:ascii="Times New Roman" w:hAnsi="Times New Roman" w:cs="Times New Roman"/>
                <w:sz w:val="21"/>
                <w:szCs w:val="21"/>
              </w:rPr>
              <w:t>定电位电解法》HJ693-2014</w:t>
            </w:r>
          </w:p>
        </w:tc>
        <w:tc>
          <w:tcPr>
            <w:tcW w:w="961" w:type="dxa"/>
            <w:vMerge w:val="restart"/>
            <w:vAlign w:val="center"/>
          </w:tcPr>
          <w:p>
            <w:pPr>
              <w:widowControl w:val="0"/>
              <w:autoSpaceDE/>
              <w:autoSpaceDN/>
              <w:spacing w:before="94" w:line="242" w:lineRule="auto"/>
              <w:jc w:val="center"/>
              <w:outlineLvl w:val="2"/>
              <w:rPr>
                <w:rFonts w:ascii="Times New Roman" w:hAnsi="Times New Roman" w:cs="Times New Roman"/>
                <w:spacing w:val="8"/>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78" w:type="dxa"/>
            <w:vAlign w:val="center"/>
          </w:tcPr>
          <w:p>
            <w:pPr>
              <w:widowControl w:val="0"/>
              <w:autoSpaceDE/>
              <w:autoSpaceDN/>
              <w:spacing w:before="94" w:line="242" w:lineRule="auto"/>
              <w:jc w:val="center"/>
              <w:outlineLvl w:val="2"/>
              <w:rPr>
                <w:rFonts w:ascii="Times New Roman" w:hAnsi="Times New Roman" w:cs="Times New Roman"/>
                <w:spacing w:val="8"/>
                <w:sz w:val="21"/>
                <w:szCs w:val="21"/>
                <w:lang w:val="en-US"/>
              </w:rPr>
            </w:pPr>
            <w:r>
              <w:rPr>
                <w:rFonts w:ascii="Times New Roman" w:hAnsi="Times New Roman" w:cs="Times New Roman"/>
                <w:spacing w:val="8"/>
                <w:sz w:val="21"/>
                <w:szCs w:val="21"/>
                <w:lang w:val="en-US"/>
              </w:rPr>
              <w:t>2</w:t>
            </w:r>
          </w:p>
        </w:tc>
        <w:tc>
          <w:tcPr>
            <w:tcW w:w="1683" w:type="dxa"/>
            <w:vAlign w:val="center"/>
          </w:tcPr>
          <w:p>
            <w:pPr>
              <w:widowControl w:val="0"/>
              <w:autoSpaceDE/>
              <w:autoSpaceDN/>
              <w:spacing w:before="94" w:line="242" w:lineRule="auto"/>
              <w:jc w:val="center"/>
              <w:outlineLvl w:val="2"/>
              <w:rPr>
                <w:rFonts w:ascii="Times New Roman" w:hAnsi="Times New Roman" w:cs="Times New Roman"/>
                <w:spacing w:val="8"/>
                <w:sz w:val="21"/>
                <w:szCs w:val="21"/>
                <w:lang w:val="en-US"/>
              </w:rPr>
            </w:pPr>
            <w:r>
              <w:rPr>
                <w:rFonts w:ascii="Times New Roman" w:hAnsi="Times New Roman" w:cs="Times New Roman"/>
                <w:spacing w:val="8"/>
                <w:sz w:val="21"/>
                <w:szCs w:val="21"/>
                <w:lang w:val="en-US"/>
              </w:rPr>
              <w:t>二氧化硫</w:t>
            </w:r>
          </w:p>
        </w:tc>
        <w:tc>
          <w:tcPr>
            <w:tcW w:w="4900" w:type="dxa"/>
            <w:vAlign w:val="center"/>
          </w:tcPr>
          <w:p>
            <w:pPr>
              <w:widowControl w:val="0"/>
              <w:autoSpaceDE/>
              <w:autoSpaceDN/>
              <w:spacing w:before="67" w:line="195" w:lineRule="auto"/>
              <w:jc w:val="center"/>
              <w:rPr>
                <w:rFonts w:ascii="Times New Roman" w:hAnsi="Times New Roman" w:eastAsia="Times New Roman" w:cs="Times New Roman"/>
                <w:spacing w:val="8"/>
                <w:sz w:val="21"/>
                <w:szCs w:val="21"/>
              </w:rPr>
            </w:pPr>
            <w:r>
              <w:rPr>
                <w:rFonts w:ascii="Times New Roman" w:hAnsi="Times New Roman" w:cs="Times New Roman"/>
                <w:sz w:val="21"/>
                <w:szCs w:val="21"/>
              </w:rPr>
              <w:t>《固定污染源废气</w:t>
            </w:r>
            <w:r>
              <w:rPr>
                <w:rFonts w:ascii="Times New Roman" w:hAnsi="Times New Roman" w:cs="Times New Roman"/>
                <w:sz w:val="21"/>
                <w:szCs w:val="21"/>
                <w:lang w:val="en-US"/>
              </w:rPr>
              <w:t xml:space="preserve">  </w:t>
            </w:r>
            <w:r>
              <w:rPr>
                <w:rFonts w:ascii="Times New Roman" w:hAnsi="Times New Roman" w:cs="Times New Roman"/>
                <w:sz w:val="21"/>
                <w:szCs w:val="21"/>
              </w:rPr>
              <w:t>二氧化硫的测定</w:t>
            </w:r>
            <w:r>
              <w:rPr>
                <w:rFonts w:ascii="Times New Roman" w:hAnsi="Times New Roman" w:cs="Times New Roman"/>
                <w:sz w:val="21"/>
                <w:szCs w:val="21"/>
                <w:lang w:val="en-US"/>
              </w:rPr>
              <w:t xml:space="preserve">  </w:t>
            </w:r>
            <w:r>
              <w:rPr>
                <w:rFonts w:ascii="Times New Roman" w:hAnsi="Times New Roman" w:cs="Times New Roman"/>
                <w:sz w:val="21"/>
                <w:szCs w:val="21"/>
              </w:rPr>
              <w:t>定电位电解法》HJ57-2017</w:t>
            </w:r>
          </w:p>
        </w:tc>
        <w:tc>
          <w:tcPr>
            <w:tcW w:w="961" w:type="dxa"/>
            <w:vMerge w:val="continue"/>
            <w:vAlign w:val="center"/>
          </w:tcPr>
          <w:p>
            <w:pPr>
              <w:widowControl w:val="0"/>
              <w:autoSpaceDE/>
              <w:autoSpaceDN/>
              <w:spacing w:before="67" w:line="195" w:lineRule="auto"/>
              <w:jc w:val="center"/>
              <w:rPr>
                <w:rFonts w:ascii="Times New Roman" w:hAnsi="Times New Roman"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Align w:val="center"/>
          </w:tcPr>
          <w:p>
            <w:pPr>
              <w:widowControl w:val="0"/>
              <w:autoSpaceDE/>
              <w:autoSpaceDN/>
              <w:spacing w:before="94" w:line="242" w:lineRule="auto"/>
              <w:jc w:val="center"/>
              <w:outlineLvl w:val="2"/>
              <w:rPr>
                <w:rFonts w:ascii="Times New Roman" w:hAnsi="Times New Roman" w:cs="Times New Roman"/>
                <w:spacing w:val="8"/>
                <w:sz w:val="21"/>
                <w:szCs w:val="21"/>
                <w:lang w:val="en-US"/>
              </w:rPr>
            </w:pPr>
            <w:r>
              <w:rPr>
                <w:rFonts w:ascii="Times New Roman" w:hAnsi="Times New Roman" w:cs="Times New Roman"/>
                <w:spacing w:val="8"/>
                <w:sz w:val="21"/>
                <w:szCs w:val="21"/>
                <w:lang w:val="en-US"/>
              </w:rPr>
              <w:t>3</w:t>
            </w:r>
          </w:p>
        </w:tc>
        <w:tc>
          <w:tcPr>
            <w:tcW w:w="1683" w:type="dxa"/>
            <w:vAlign w:val="center"/>
          </w:tcPr>
          <w:p>
            <w:pPr>
              <w:widowControl w:val="0"/>
              <w:autoSpaceDE/>
              <w:autoSpaceDN/>
              <w:spacing w:before="94" w:line="242" w:lineRule="auto"/>
              <w:jc w:val="center"/>
              <w:outlineLvl w:val="2"/>
              <w:rPr>
                <w:rFonts w:ascii="Times New Roman" w:hAnsi="Times New Roman" w:cs="Times New Roman"/>
                <w:spacing w:val="8"/>
                <w:sz w:val="21"/>
                <w:szCs w:val="21"/>
                <w:lang w:val="en-US"/>
              </w:rPr>
            </w:pPr>
            <w:r>
              <w:rPr>
                <w:rFonts w:ascii="Times New Roman" w:hAnsi="Times New Roman" w:cs="Times New Roman"/>
                <w:spacing w:val="8"/>
                <w:sz w:val="21"/>
                <w:szCs w:val="21"/>
                <w:lang w:val="en-US"/>
              </w:rPr>
              <w:t>颗粒物</w:t>
            </w:r>
          </w:p>
        </w:tc>
        <w:tc>
          <w:tcPr>
            <w:tcW w:w="4900" w:type="dxa"/>
            <w:vAlign w:val="center"/>
          </w:tcPr>
          <w:p>
            <w:pPr>
              <w:widowControl w:val="0"/>
              <w:autoSpaceDE/>
              <w:autoSpaceDN/>
              <w:spacing w:before="67" w:line="195" w:lineRule="auto"/>
              <w:jc w:val="center"/>
              <w:rPr>
                <w:rFonts w:ascii="Times New Roman" w:hAnsi="Times New Roman" w:eastAsia="Times New Roman" w:cs="Times New Roman"/>
                <w:spacing w:val="8"/>
                <w:sz w:val="21"/>
                <w:szCs w:val="21"/>
              </w:rPr>
            </w:pPr>
            <w:r>
              <w:rPr>
                <w:rFonts w:ascii="Times New Roman" w:hAnsi="Times New Roman" w:cs="Times New Roman"/>
                <w:sz w:val="21"/>
                <w:szCs w:val="21"/>
              </w:rPr>
              <w:t>《固定污染源废气</w:t>
            </w:r>
            <w:r>
              <w:rPr>
                <w:rFonts w:ascii="Times New Roman" w:hAnsi="Times New Roman" w:cs="Times New Roman"/>
                <w:sz w:val="21"/>
                <w:szCs w:val="21"/>
                <w:lang w:val="en-US"/>
              </w:rPr>
              <w:t xml:space="preserve">  </w:t>
            </w:r>
            <w:r>
              <w:rPr>
                <w:rFonts w:ascii="Times New Roman" w:hAnsi="Times New Roman" w:cs="Times New Roman"/>
                <w:sz w:val="21"/>
                <w:szCs w:val="21"/>
              </w:rPr>
              <w:t>低浓度颗粒物的测定</w:t>
            </w:r>
            <w:r>
              <w:rPr>
                <w:rFonts w:ascii="Times New Roman" w:hAnsi="Times New Roman" w:cs="Times New Roman"/>
                <w:sz w:val="21"/>
                <w:szCs w:val="21"/>
                <w:lang w:val="en-US"/>
              </w:rPr>
              <w:t xml:space="preserve">  </w:t>
            </w:r>
            <w:r>
              <w:rPr>
                <w:rFonts w:ascii="Times New Roman" w:hAnsi="Times New Roman" w:cs="Times New Roman"/>
                <w:sz w:val="21"/>
                <w:szCs w:val="21"/>
              </w:rPr>
              <w:t>重量法》HJ836-2017</w:t>
            </w:r>
          </w:p>
        </w:tc>
        <w:tc>
          <w:tcPr>
            <w:tcW w:w="961" w:type="dxa"/>
            <w:vMerge w:val="continue"/>
            <w:vAlign w:val="center"/>
          </w:tcPr>
          <w:p>
            <w:pPr>
              <w:widowControl w:val="0"/>
              <w:autoSpaceDE/>
              <w:autoSpaceDN/>
              <w:spacing w:before="67" w:line="195" w:lineRule="auto"/>
              <w:jc w:val="center"/>
              <w:rPr>
                <w:rFonts w:ascii="Times New Roman" w:hAnsi="Times New Roman"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Align w:val="center"/>
          </w:tcPr>
          <w:p>
            <w:pPr>
              <w:widowControl w:val="0"/>
              <w:autoSpaceDE/>
              <w:autoSpaceDN/>
              <w:spacing w:before="94" w:line="242" w:lineRule="auto"/>
              <w:jc w:val="center"/>
              <w:outlineLvl w:val="2"/>
              <w:rPr>
                <w:rFonts w:ascii="Times New Roman" w:hAnsi="Times New Roman" w:cs="Times New Roman"/>
                <w:spacing w:val="8"/>
                <w:sz w:val="21"/>
                <w:szCs w:val="21"/>
                <w:lang w:val="en-US"/>
              </w:rPr>
            </w:pPr>
            <w:r>
              <w:rPr>
                <w:rFonts w:ascii="Times New Roman" w:hAnsi="Times New Roman" w:cs="Times New Roman"/>
                <w:spacing w:val="8"/>
                <w:sz w:val="21"/>
                <w:szCs w:val="21"/>
                <w:lang w:val="en-US"/>
              </w:rPr>
              <w:t>4</w:t>
            </w:r>
          </w:p>
        </w:tc>
        <w:tc>
          <w:tcPr>
            <w:tcW w:w="1683" w:type="dxa"/>
            <w:vAlign w:val="center"/>
          </w:tcPr>
          <w:p>
            <w:pPr>
              <w:widowControl w:val="0"/>
              <w:autoSpaceDE/>
              <w:autoSpaceDN/>
              <w:spacing w:before="94" w:line="242" w:lineRule="auto"/>
              <w:jc w:val="center"/>
              <w:outlineLvl w:val="2"/>
              <w:rPr>
                <w:rFonts w:ascii="Times New Roman" w:hAnsi="Times New Roman" w:cs="Times New Roman"/>
                <w:spacing w:val="8"/>
                <w:sz w:val="21"/>
                <w:szCs w:val="21"/>
                <w:lang w:val="en-US"/>
              </w:rPr>
            </w:pPr>
            <w:r>
              <w:rPr>
                <w:rFonts w:ascii="Times New Roman" w:hAnsi="Times New Roman" w:cs="Times New Roman"/>
                <w:spacing w:val="8"/>
                <w:sz w:val="21"/>
                <w:szCs w:val="21"/>
                <w:lang w:val="en-US"/>
              </w:rPr>
              <w:t>林格曼黑度</w:t>
            </w:r>
          </w:p>
        </w:tc>
        <w:tc>
          <w:tcPr>
            <w:tcW w:w="4900" w:type="dxa"/>
            <w:vAlign w:val="center"/>
          </w:tcPr>
          <w:p>
            <w:pPr>
              <w:widowControl w:val="0"/>
              <w:autoSpaceDE/>
              <w:autoSpaceDN/>
              <w:spacing w:before="67" w:line="195" w:lineRule="auto"/>
              <w:jc w:val="center"/>
              <w:rPr>
                <w:rFonts w:ascii="Times New Roman" w:hAnsi="Times New Roman" w:eastAsia="Times New Roman" w:cs="Times New Roman"/>
                <w:spacing w:val="8"/>
                <w:sz w:val="21"/>
                <w:szCs w:val="21"/>
              </w:rPr>
            </w:pPr>
            <w:r>
              <w:rPr>
                <w:rFonts w:ascii="Times New Roman" w:hAnsi="Times New Roman" w:cs="Times New Roman"/>
                <w:sz w:val="21"/>
                <w:szCs w:val="21"/>
              </w:rPr>
              <w:t>《固定污染源排放烟气黑度的测定 林格曼烟气黑度图法》HJ/T398-2007</w:t>
            </w:r>
          </w:p>
        </w:tc>
        <w:tc>
          <w:tcPr>
            <w:tcW w:w="961" w:type="dxa"/>
            <w:vMerge w:val="continue"/>
            <w:vAlign w:val="center"/>
          </w:tcPr>
          <w:p>
            <w:pPr>
              <w:widowControl w:val="0"/>
              <w:autoSpaceDE/>
              <w:autoSpaceDN/>
              <w:spacing w:before="94" w:line="242" w:lineRule="auto"/>
              <w:jc w:val="center"/>
              <w:outlineLvl w:val="2"/>
              <w:rPr>
                <w:rFonts w:ascii="Times New Roman" w:hAnsi="Times New Roman"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Align w:val="center"/>
          </w:tcPr>
          <w:p>
            <w:pPr>
              <w:widowControl w:val="0"/>
              <w:autoSpaceDE/>
              <w:autoSpaceDN/>
              <w:spacing w:before="94" w:line="242" w:lineRule="auto"/>
              <w:jc w:val="center"/>
              <w:outlineLvl w:val="2"/>
              <w:rPr>
                <w:rFonts w:hint="eastAsia" w:ascii="Times New Roman" w:hAnsi="Times New Roman" w:eastAsia="宋体" w:cs="Times New Roman"/>
                <w:spacing w:val="8"/>
                <w:sz w:val="21"/>
                <w:szCs w:val="21"/>
                <w:lang w:val="en-US" w:eastAsia="zh-CN"/>
              </w:rPr>
            </w:pPr>
            <w:r>
              <w:rPr>
                <w:rFonts w:hint="eastAsia" w:ascii="Times New Roman" w:hAnsi="Times New Roman" w:eastAsia="宋体" w:cs="Times New Roman"/>
                <w:spacing w:val="8"/>
                <w:sz w:val="21"/>
                <w:szCs w:val="21"/>
                <w:lang w:val="en-US" w:eastAsia="zh-CN"/>
              </w:rPr>
              <w:t>5</w:t>
            </w:r>
          </w:p>
        </w:tc>
        <w:tc>
          <w:tcPr>
            <w:tcW w:w="1683" w:type="dxa"/>
            <w:vAlign w:val="center"/>
          </w:tcPr>
          <w:p>
            <w:pPr>
              <w:widowControl w:val="0"/>
              <w:autoSpaceDE/>
              <w:autoSpaceDN/>
              <w:spacing w:before="94" w:line="242" w:lineRule="auto"/>
              <w:jc w:val="center"/>
              <w:outlineLvl w:val="2"/>
              <w:rPr>
                <w:rFonts w:hint="default" w:ascii="Times New Roman" w:hAnsi="Times New Roman" w:eastAsia="宋体" w:cs="Times New Roman"/>
                <w:spacing w:val="8"/>
                <w:sz w:val="21"/>
                <w:szCs w:val="21"/>
                <w:lang w:val="en-US" w:eastAsia="zh-CN"/>
              </w:rPr>
            </w:pPr>
            <w:r>
              <w:rPr>
                <w:rFonts w:hint="eastAsia" w:ascii="Times New Roman" w:hAnsi="Times New Roman" w:eastAsia="宋体" w:cs="Times New Roman"/>
                <w:spacing w:val="8"/>
                <w:sz w:val="21"/>
                <w:szCs w:val="21"/>
                <w:lang w:val="en-US" w:eastAsia="zh-CN"/>
              </w:rPr>
              <w:t>氨</w:t>
            </w:r>
          </w:p>
        </w:tc>
        <w:tc>
          <w:tcPr>
            <w:tcW w:w="4900" w:type="dxa"/>
            <w:vAlign w:val="center"/>
          </w:tcPr>
          <w:p>
            <w:pPr>
              <w:widowControl w:val="0"/>
              <w:autoSpaceDE/>
              <w:autoSpaceDN/>
              <w:spacing w:before="94" w:line="242" w:lineRule="auto"/>
              <w:jc w:val="center"/>
              <w:outlineLvl w:val="2"/>
              <w:rPr>
                <w:rFonts w:hint="eastAsia" w:ascii="Times New Roman" w:hAnsi="Times New Roman" w:eastAsia="宋体" w:cs="Times New Roman"/>
                <w:spacing w:val="8"/>
                <w:sz w:val="21"/>
                <w:szCs w:val="21"/>
                <w:lang w:val="en-US" w:eastAsia="zh-CN"/>
              </w:rPr>
            </w:pPr>
            <w:r>
              <w:rPr>
                <w:rFonts w:hint="eastAsia" w:ascii="Times New Roman" w:hAnsi="Times New Roman" w:eastAsia="宋体" w:cs="Times New Roman"/>
                <w:spacing w:val="8"/>
                <w:sz w:val="21"/>
                <w:szCs w:val="21"/>
                <w:lang w:val="en-US"/>
              </w:rPr>
              <w:t>《环境空气</w:t>
            </w:r>
            <w:r>
              <w:rPr>
                <w:rFonts w:hint="eastAsia" w:ascii="Times New Roman" w:hAnsi="Times New Roman" w:eastAsia="宋体" w:cs="Times New Roman"/>
                <w:spacing w:val="8"/>
                <w:sz w:val="21"/>
                <w:szCs w:val="21"/>
                <w:lang w:val="en-US" w:eastAsia="zh-CN"/>
              </w:rPr>
              <w:t>和废气</w:t>
            </w:r>
            <w:r>
              <w:rPr>
                <w:rFonts w:hint="eastAsia" w:ascii="Times New Roman" w:hAnsi="Times New Roman" w:eastAsia="宋体" w:cs="Times New Roman"/>
                <w:spacing w:val="8"/>
                <w:sz w:val="21"/>
                <w:szCs w:val="21"/>
                <w:lang w:val="en-US"/>
              </w:rPr>
              <w:t xml:space="preserve"> 氨的测定 </w:t>
            </w:r>
            <w:r>
              <w:rPr>
                <w:rFonts w:hint="eastAsia" w:ascii="Times New Roman" w:hAnsi="Times New Roman" w:eastAsia="宋体" w:cs="Times New Roman"/>
                <w:spacing w:val="8"/>
                <w:sz w:val="21"/>
                <w:szCs w:val="21"/>
                <w:lang w:val="en-US" w:eastAsia="zh-CN"/>
              </w:rPr>
              <w:t>纳氏试剂分光光度法</w:t>
            </w:r>
            <w:r>
              <w:rPr>
                <w:rFonts w:hint="eastAsia" w:ascii="Times New Roman" w:hAnsi="Times New Roman" w:eastAsia="宋体" w:cs="Times New Roman"/>
                <w:spacing w:val="8"/>
                <w:sz w:val="21"/>
                <w:szCs w:val="21"/>
                <w:lang w:val="en-US"/>
              </w:rPr>
              <w:t>》</w:t>
            </w:r>
            <w:r>
              <w:rPr>
                <w:rFonts w:hint="eastAsia" w:ascii="Times New Roman" w:hAnsi="Times New Roman" w:eastAsia="宋体" w:cs="Times New Roman"/>
                <w:spacing w:val="8"/>
                <w:sz w:val="21"/>
                <w:szCs w:val="21"/>
                <w:lang w:val="en-US" w:eastAsia="zh-CN"/>
              </w:rPr>
              <w:t>及修改单</w:t>
            </w:r>
            <w:r>
              <w:rPr>
                <w:rFonts w:hint="eastAsia" w:ascii="Times New Roman" w:hAnsi="Times New Roman" w:eastAsia="宋体" w:cs="Times New Roman"/>
                <w:spacing w:val="8"/>
                <w:sz w:val="21"/>
                <w:szCs w:val="21"/>
                <w:lang w:val="en-US"/>
              </w:rPr>
              <w:t>HJ53</w:t>
            </w:r>
            <w:r>
              <w:rPr>
                <w:rFonts w:hint="eastAsia" w:ascii="Times New Roman" w:hAnsi="Times New Roman" w:eastAsia="宋体" w:cs="Times New Roman"/>
                <w:spacing w:val="8"/>
                <w:sz w:val="21"/>
                <w:szCs w:val="21"/>
                <w:lang w:val="en-US" w:eastAsia="zh-CN"/>
              </w:rPr>
              <w:t>3</w:t>
            </w:r>
            <w:r>
              <w:rPr>
                <w:rFonts w:hint="eastAsia" w:ascii="Times New Roman" w:hAnsi="Times New Roman" w:eastAsia="宋体" w:cs="Times New Roman"/>
                <w:spacing w:val="8"/>
                <w:sz w:val="21"/>
                <w:szCs w:val="21"/>
                <w:lang w:val="en-US"/>
              </w:rPr>
              <w:t>-2009</w:t>
            </w:r>
          </w:p>
        </w:tc>
        <w:tc>
          <w:tcPr>
            <w:tcW w:w="961" w:type="dxa"/>
            <w:vMerge w:val="continue"/>
            <w:vAlign w:val="center"/>
          </w:tcPr>
          <w:p>
            <w:pPr>
              <w:widowControl w:val="0"/>
              <w:autoSpaceDE/>
              <w:autoSpaceDN/>
              <w:spacing w:before="94" w:line="242" w:lineRule="auto"/>
              <w:jc w:val="center"/>
              <w:outlineLvl w:val="2"/>
              <w:rPr>
                <w:rFonts w:ascii="Times New Roman" w:hAnsi="Times New Roman"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Align w:val="center"/>
          </w:tcPr>
          <w:p>
            <w:pPr>
              <w:widowControl w:val="0"/>
              <w:autoSpaceDE/>
              <w:autoSpaceDN/>
              <w:spacing w:before="94" w:line="242" w:lineRule="auto"/>
              <w:jc w:val="center"/>
              <w:outlineLvl w:val="2"/>
              <w:rPr>
                <w:rFonts w:hint="eastAsia" w:ascii="Times New Roman" w:hAnsi="Times New Roman" w:eastAsia="宋体" w:cs="Times New Roman"/>
                <w:spacing w:val="8"/>
                <w:sz w:val="21"/>
                <w:szCs w:val="21"/>
                <w:lang w:val="en-US" w:eastAsia="zh-CN"/>
              </w:rPr>
            </w:pPr>
            <w:r>
              <w:rPr>
                <w:rFonts w:hint="eastAsia" w:ascii="Times New Roman" w:hAnsi="Times New Roman" w:eastAsia="宋体" w:cs="Times New Roman"/>
                <w:spacing w:val="8"/>
                <w:sz w:val="21"/>
                <w:szCs w:val="21"/>
                <w:lang w:val="en-US" w:eastAsia="zh-CN"/>
              </w:rPr>
              <w:t>6</w:t>
            </w:r>
          </w:p>
        </w:tc>
        <w:tc>
          <w:tcPr>
            <w:tcW w:w="1683" w:type="dxa"/>
            <w:vAlign w:val="center"/>
          </w:tcPr>
          <w:p>
            <w:pPr>
              <w:widowControl w:val="0"/>
              <w:autoSpaceDE/>
              <w:autoSpaceDN/>
              <w:spacing w:before="94" w:line="242" w:lineRule="auto"/>
              <w:jc w:val="center"/>
              <w:outlineLvl w:val="2"/>
              <w:rPr>
                <w:rFonts w:hint="default" w:ascii="Times New Roman" w:hAnsi="Times New Roman" w:eastAsia="宋体" w:cs="Times New Roman"/>
                <w:color w:val="000000" w:themeColor="text1"/>
                <w:spacing w:val="8"/>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8"/>
                <w:sz w:val="21"/>
                <w:szCs w:val="21"/>
                <w:lang w:val="en-US" w:eastAsia="zh-CN"/>
                <w14:textFill>
                  <w14:solidFill>
                    <w14:schemeClr w14:val="tx1"/>
                  </w14:solidFill>
                </w14:textFill>
              </w:rPr>
              <w:t>硫化氢</w:t>
            </w:r>
          </w:p>
        </w:tc>
        <w:tc>
          <w:tcPr>
            <w:tcW w:w="4900" w:type="dxa"/>
            <w:vAlign w:val="center"/>
          </w:tcPr>
          <w:p>
            <w:pPr>
              <w:widowControl w:val="0"/>
              <w:autoSpaceDE/>
              <w:autoSpaceDN/>
              <w:spacing w:before="94" w:line="242" w:lineRule="auto"/>
              <w:jc w:val="center"/>
              <w:outlineLvl w:val="2"/>
              <w:rPr>
                <w:rFonts w:hint="default" w:ascii="Times New Roman" w:hAnsi="Times New Roman" w:eastAsia="宋体" w:cs="Times New Roman"/>
                <w:color w:val="000000" w:themeColor="text1"/>
                <w:spacing w:val="8"/>
                <w:sz w:val="21"/>
                <w:szCs w:val="21"/>
                <w:lang w:val="en-US" w:eastAsia="zh-CN"/>
                <w14:textFill>
                  <w14:solidFill>
                    <w14:schemeClr w14:val="tx1"/>
                  </w14:solidFill>
                </w14:textFill>
              </w:rPr>
            </w:pPr>
            <w:r>
              <w:rPr>
                <w:rFonts w:hint="eastAsia" w:ascii="Times New Roman" w:hAnsi="Times New Roman" w:cs="Times New Roman"/>
                <w:color w:val="000000" w:themeColor="text1"/>
                <w:spacing w:val="8"/>
                <w:sz w:val="21"/>
                <w:szCs w:val="21"/>
                <w:lang w:val="en-US" w:eastAsia="zh-CN"/>
                <w14:textFill>
                  <w14:solidFill>
                    <w14:schemeClr w14:val="tx1"/>
                  </w14:solidFill>
                </w14:textFill>
              </w:rPr>
              <w:t>亚甲基蓝分光光度计法《空气和废气监测分析方法》（第四版增补版）国家环境保护总局2003年</w:t>
            </w:r>
          </w:p>
        </w:tc>
        <w:tc>
          <w:tcPr>
            <w:tcW w:w="961" w:type="dxa"/>
            <w:vMerge w:val="continue"/>
            <w:vAlign w:val="center"/>
          </w:tcPr>
          <w:p>
            <w:pPr>
              <w:widowControl w:val="0"/>
              <w:autoSpaceDE/>
              <w:autoSpaceDN/>
              <w:spacing w:before="94" w:line="242" w:lineRule="auto"/>
              <w:jc w:val="center"/>
              <w:outlineLvl w:val="2"/>
              <w:rPr>
                <w:rFonts w:ascii="Times New Roman" w:hAnsi="Times New Roman"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Align w:val="center"/>
          </w:tcPr>
          <w:p>
            <w:pPr>
              <w:widowControl w:val="0"/>
              <w:autoSpaceDE/>
              <w:autoSpaceDN/>
              <w:spacing w:before="94" w:line="242" w:lineRule="auto"/>
              <w:jc w:val="center"/>
              <w:outlineLvl w:val="2"/>
              <w:rPr>
                <w:rFonts w:hint="eastAsia" w:ascii="Times New Roman" w:hAnsi="Times New Roman" w:eastAsia="宋体" w:cs="Times New Roman"/>
                <w:spacing w:val="8"/>
                <w:sz w:val="21"/>
                <w:szCs w:val="21"/>
                <w:lang w:val="en-US" w:eastAsia="zh-CN"/>
              </w:rPr>
            </w:pPr>
            <w:r>
              <w:rPr>
                <w:rFonts w:hint="eastAsia" w:ascii="Times New Roman" w:hAnsi="Times New Roman" w:eastAsia="宋体" w:cs="Times New Roman"/>
                <w:spacing w:val="8"/>
                <w:sz w:val="21"/>
                <w:szCs w:val="21"/>
                <w:lang w:val="en-US" w:eastAsia="zh-CN"/>
              </w:rPr>
              <w:t>7</w:t>
            </w:r>
          </w:p>
        </w:tc>
        <w:tc>
          <w:tcPr>
            <w:tcW w:w="1683" w:type="dxa"/>
            <w:vAlign w:val="center"/>
          </w:tcPr>
          <w:p>
            <w:pPr>
              <w:widowControl w:val="0"/>
              <w:autoSpaceDE/>
              <w:autoSpaceDN/>
              <w:spacing w:before="94" w:line="242" w:lineRule="auto"/>
              <w:jc w:val="center"/>
              <w:outlineLvl w:val="2"/>
              <w:rPr>
                <w:rFonts w:hint="default" w:ascii="Times New Roman" w:hAnsi="Times New Roman" w:eastAsia="宋体" w:cs="Times New Roman"/>
                <w:spacing w:val="8"/>
                <w:sz w:val="21"/>
                <w:szCs w:val="21"/>
                <w:lang w:val="en-US" w:eastAsia="zh-CN"/>
              </w:rPr>
            </w:pPr>
            <w:r>
              <w:rPr>
                <w:rFonts w:hint="eastAsia" w:ascii="Times New Roman" w:hAnsi="Times New Roman" w:eastAsia="宋体" w:cs="Times New Roman"/>
                <w:spacing w:val="8"/>
                <w:sz w:val="21"/>
                <w:szCs w:val="21"/>
                <w:lang w:val="en-US" w:eastAsia="zh-CN"/>
              </w:rPr>
              <w:t>臭气浓度</w:t>
            </w:r>
          </w:p>
        </w:tc>
        <w:tc>
          <w:tcPr>
            <w:tcW w:w="4900" w:type="dxa"/>
            <w:vAlign w:val="center"/>
          </w:tcPr>
          <w:p>
            <w:pPr>
              <w:widowControl w:val="0"/>
              <w:autoSpaceDE/>
              <w:autoSpaceDN/>
              <w:spacing w:before="94" w:line="242" w:lineRule="auto"/>
              <w:jc w:val="center"/>
              <w:outlineLvl w:val="2"/>
              <w:rPr>
                <w:rFonts w:hint="eastAsia" w:ascii="Times New Roman" w:hAnsi="Times New Roman" w:eastAsia="宋体" w:cs="Times New Roman"/>
                <w:spacing w:val="8"/>
                <w:sz w:val="21"/>
                <w:szCs w:val="21"/>
                <w:lang w:val="en-US" w:eastAsia="zh-CN"/>
              </w:rPr>
            </w:pPr>
            <w:r>
              <w:rPr>
                <w:rFonts w:hint="eastAsia" w:ascii="Times New Roman" w:hAnsi="Times New Roman" w:eastAsia="宋体" w:cs="Times New Roman"/>
                <w:spacing w:val="8"/>
                <w:sz w:val="21"/>
                <w:szCs w:val="21"/>
                <w:lang w:val="en-US" w:eastAsia="zh-CN"/>
              </w:rPr>
              <w:t>空气质量 恶臭的测定 三点比较式臭袋法 GB/T14675-93</w:t>
            </w:r>
          </w:p>
        </w:tc>
        <w:tc>
          <w:tcPr>
            <w:tcW w:w="961" w:type="dxa"/>
            <w:vMerge w:val="continue"/>
            <w:vAlign w:val="center"/>
          </w:tcPr>
          <w:p>
            <w:pPr>
              <w:widowControl w:val="0"/>
              <w:autoSpaceDE/>
              <w:autoSpaceDN/>
              <w:spacing w:before="94" w:line="242" w:lineRule="auto"/>
              <w:jc w:val="center"/>
              <w:outlineLvl w:val="2"/>
              <w:rPr>
                <w:rFonts w:ascii="Times New Roman" w:hAnsi="Times New Roman" w:cs="Times New Roman"/>
                <w:sz w:val="21"/>
                <w:szCs w:val="21"/>
                <w:lang w:val="en-US"/>
              </w:rPr>
            </w:pPr>
          </w:p>
        </w:tc>
      </w:tr>
    </w:tbl>
    <w:p>
      <w:pPr>
        <w:pStyle w:val="2"/>
        <w:ind w:firstLine="480"/>
        <w:rPr>
          <w:rFonts w:ascii="Times New Roman" w:hAnsi="Times New Roman" w:cs="Times New Roman"/>
        </w:rPr>
      </w:pPr>
      <w:r>
        <w:rPr>
          <w:rFonts w:ascii="Times New Roman" w:hAnsi="Times New Roman" w:cs="Times New Roman"/>
        </w:rPr>
        <w:t>3、废气有组织排放监测结果执行标准见表 3。</w:t>
      </w:r>
    </w:p>
    <w:p>
      <w:pPr>
        <w:pStyle w:val="20"/>
        <w:rPr>
          <w:rFonts w:cs="Times New Roman"/>
        </w:rPr>
      </w:pPr>
      <w:r>
        <w:rPr>
          <w:rFonts w:cs="Times New Roman"/>
        </w:rPr>
        <w:t>表 3</w:t>
      </w:r>
      <w:r>
        <w:rPr>
          <w:rFonts w:cs="Times New Roman"/>
        </w:rPr>
        <w:tab/>
      </w:r>
      <w:r>
        <w:rPr>
          <w:rFonts w:cs="Times New Roman"/>
        </w:rPr>
        <w:t>废气有组织排放监测结果执行标准</w:t>
      </w:r>
    </w:p>
    <w:tbl>
      <w:tblPr>
        <w:tblStyle w:val="21"/>
        <w:tblW w:w="862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76"/>
        <w:gridCol w:w="1582"/>
        <w:gridCol w:w="1350"/>
        <w:gridCol w:w="1889"/>
        <w:gridCol w:w="1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40" w:type="dxa"/>
          </w:tcPr>
          <w:p>
            <w:pPr>
              <w:pStyle w:val="15"/>
              <w:spacing w:before="138"/>
              <w:ind w:left="163"/>
              <w:jc w:val="left"/>
              <w:rPr>
                <w:rFonts w:ascii="Times New Roman" w:hAnsi="Times New Roman" w:cs="Times New Roman"/>
                <w:b/>
                <w:sz w:val="21"/>
              </w:rPr>
            </w:pPr>
            <w:bookmarkStart w:id="1" w:name="_Hlk117172625"/>
            <w:r>
              <w:rPr>
                <w:rFonts w:ascii="Times New Roman" w:hAnsi="Times New Roman" w:cs="Times New Roman"/>
                <w:b/>
                <w:sz w:val="21"/>
              </w:rPr>
              <w:t>类型</w:t>
            </w:r>
          </w:p>
        </w:tc>
        <w:tc>
          <w:tcPr>
            <w:tcW w:w="976" w:type="dxa"/>
          </w:tcPr>
          <w:p>
            <w:pPr>
              <w:pStyle w:val="15"/>
              <w:spacing w:before="1"/>
              <w:ind w:left="96" w:right="90"/>
              <w:rPr>
                <w:rFonts w:ascii="Times New Roman" w:hAnsi="Times New Roman" w:cs="Times New Roman"/>
                <w:b/>
                <w:sz w:val="21"/>
              </w:rPr>
            </w:pPr>
            <w:r>
              <w:rPr>
                <w:rFonts w:ascii="Times New Roman" w:hAnsi="Times New Roman" w:cs="Times New Roman"/>
                <w:b/>
                <w:sz w:val="21"/>
              </w:rPr>
              <w:t>排放口</w:t>
            </w:r>
          </w:p>
          <w:p>
            <w:pPr>
              <w:pStyle w:val="15"/>
              <w:spacing w:before="4" w:line="250" w:lineRule="exact"/>
              <w:ind w:left="96" w:right="90"/>
              <w:rPr>
                <w:rFonts w:ascii="Times New Roman" w:hAnsi="Times New Roman" w:cs="Times New Roman"/>
                <w:b/>
                <w:sz w:val="21"/>
              </w:rPr>
            </w:pPr>
            <w:r>
              <w:rPr>
                <w:rFonts w:ascii="Times New Roman" w:hAnsi="Times New Roman" w:cs="Times New Roman"/>
                <w:b/>
                <w:sz w:val="21"/>
              </w:rPr>
              <w:t>编号</w:t>
            </w:r>
          </w:p>
        </w:tc>
        <w:tc>
          <w:tcPr>
            <w:tcW w:w="1582" w:type="dxa"/>
          </w:tcPr>
          <w:p>
            <w:pPr>
              <w:pStyle w:val="15"/>
              <w:spacing w:before="138"/>
              <w:ind w:left="261" w:right="253"/>
              <w:rPr>
                <w:rFonts w:ascii="Times New Roman" w:hAnsi="Times New Roman" w:cs="Times New Roman"/>
                <w:b/>
                <w:sz w:val="21"/>
              </w:rPr>
            </w:pPr>
            <w:r>
              <w:rPr>
                <w:rFonts w:ascii="Times New Roman" w:hAnsi="Times New Roman" w:cs="Times New Roman"/>
                <w:b/>
                <w:sz w:val="21"/>
              </w:rPr>
              <w:t>监测项目</w:t>
            </w:r>
          </w:p>
        </w:tc>
        <w:tc>
          <w:tcPr>
            <w:tcW w:w="1350" w:type="dxa"/>
          </w:tcPr>
          <w:p>
            <w:pPr>
              <w:pStyle w:val="15"/>
              <w:spacing w:before="1"/>
              <w:ind w:left="178"/>
              <w:jc w:val="left"/>
              <w:rPr>
                <w:rFonts w:ascii="Times New Roman" w:hAnsi="Times New Roman" w:cs="Times New Roman"/>
                <w:b/>
                <w:sz w:val="21"/>
              </w:rPr>
            </w:pPr>
            <w:r>
              <w:rPr>
                <w:rFonts w:ascii="Times New Roman" w:hAnsi="Times New Roman" w:cs="Times New Roman"/>
                <w:b/>
                <w:sz w:val="21"/>
              </w:rPr>
              <w:t>执行标准</w:t>
            </w:r>
          </w:p>
          <w:p>
            <w:pPr>
              <w:pStyle w:val="15"/>
              <w:spacing w:before="4" w:line="250" w:lineRule="exact"/>
              <w:ind w:left="178"/>
              <w:jc w:val="left"/>
              <w:rPr>
                <w:rFonts w:ascii="Times New Roman" w:hAnsi="Times New Roman" w:cs="Times New Roman"/>
                <w:b/>
                <w:sz w:val="21"/>
              </w:rPr>
            </w:pPr>
            <w:r>
              <w:rPr>
                <w:rFonts w:ascii="Times New Roman" w:hAnsi="Times New Roman" w:cs="Times New Roman"/>
                <w:b/>
                <w:sz w:val="21"/>
              </w:rPr>
              <w:t>浓度限值</w:t>
            </w:r>
          </w:p>
        </w:tc>
        <w:tc>
          <w:tcPr>
            <w:tcW w:w="1889" w:type="dxa"/>
          </w:tcPr>
          <w:p>
            <w:pPr>
              <w:pStyle w:val="15"/>
              <w:spacing w:before="1"/>
              <w:ind w:left="185" w:right="183"/>
              <w:rPr>
                <w:rFonts w:ascii="Times New Roman" w:hAnsi="Times New Roman" w:cs="Times New Roman"/>
                <w:b/>
                <w:sz w:val="21"/>
              </w:rPr>
            </w:pPr>
            <w:r>
              <w:rPr>
                <w:rFonts w:ascii="Times New Roman" w:hAnsi="Times New Roman" w:cs="Times New Roman"/>
                <w:b/>
                <w:sz w:val="21"/>
              </w:rPr>
              <w:t>执行排放速率</w:t>
            </w:r>
          </w:p>
          <w:p>
            <w:pPr>
              <w:pStyle w:val="15"/>
              <w:spacing w:before="4" w:line="250" w:lineRule="exact"/>
              <w:ind w:left="185" w:right="183"/>
              <w:rPr>
                <w:rFonts w:ascii="Times New Roman" w:hAnsi="Times New Roman" w:cs="Times New Roman"/>
                <w:b/>
                <w:sz w:val="21"/>
              </w:rPr>
            </w:pPr>
            <w:r>
              <w:rPr>
                <w:rFonts w:ascii="Times New Roman" w:hAnsi="Times New Roman" w:cs="Times New Roman"/>
                <w:b/>
                <w:sz w:val="21"/>
              </w:rPr>
              <w:t>标准限值</w:t>
            </w:r>
          </w:p>
        </w:tc>
        <w:tc>
          <w:tcPr>
            <w:tcW w:w="1987" w:type="dxa"/>
          </w:tcPr>
          <w:p>
            <w:pPr>
              <w:pStyle w:val="15"/>
              <w:spacing w:before="138"/>
              <w:ind w:left="20" w:right="13"/>
              <w:rPr>
                <w:rFonts w:ascii="Times New Roman" w:hAnsi="Times New Roman" w:cs="Times New Roman"/>
                <w:b/>
                <w:sz w:val="21"/>
              </w:rPr>
            </w:pPr>
            <w:r>
              <w:rPr>
                <w:rFonts w:ascii="Times New Roman" w:hAnsi="Times New Roman" w:cs="Times New Roman"/>
                <w:b/>
                <w:sz w:val="21"/>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840" w:type="dxa"/>
            <w:vMerge w:val="restart"/>
            <w:tcBorders>
              <w:bottom w:val="single" w:color="000000" w:sz="4" w:space="0"/>
            </w:tcBorders>
            <w:vAlign w:val="center"/>
          </w:tcPr>
          <w:p>
            <w:pPr>
              <w:pStyle w:val="15"/>
              <w:spacing w:line="360" w:lineRule="auto"/>
              <w:rPr>
                <w:rFonts w:ascii="Times New Roman" w:hAnsi="Times New Roman" w:cs="Times New Roman"/>
              </w:rPr>
            </w:pPr>
            <w:r>
              <w:rPr>
                <w:rFonts w:ascii="Times New Roman" w:hAnsi="Times New Roman" w:cs="Times New Roman"/>
                <w:spacing w:val="2"/>
                <w:sz w:val="21"/>
              </w:rPr>
              <w:t>一般排放口</w:t>
            </w:r>
          </w:p>
        </w:tc>
        <w:tc>
          <w:tcPr>
            <w:tcW w:w="976" w:type="dxa"/>
            <w:vMerge w:val="restart"/>
            <w:tcBorders>
              <w:bottom w:val="single" w:color="000000" w:sz="4" w:space="0"/>
            </w:tcBorders>
            <w:vAlign w:val="center"/>
          </w:tcPr>
          <w:p>
            <w:pPr>
              <w:pStyle w:val="15"/>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FQ-01号</w:t>
            </w:r>
          </w:p>
          <w:p>
            <w:pPr>
              <w:pStyle w:val="15"/>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FQ-02号</w:t>
            </w:r>
          </w:p>
          <w:p>
            <w:pPr>
              <w:pStyle w:val="15"/>
              <w:jc w:val="center"/>
              <w:rPr>
                <w:rFonts w:hint="default" w:ascii="Times New Roman" w:hAnsi="Times New Roman" w:eastAsia="宋体" w:cs="Times New Roman"/>
                <w:lang w:val="en-US" w:eastAsia="zh-CN"/>
              </w:rPr>
            </w:pPr>
            <w:r>
              <w:rPr>
                <w:rFonts w:hint="eastAsia" w:ascii="Times New Roman" w:hAnsi="Times New Roman" w:cs="Times New Roman"/>
                <w:sz w:val="21"/>
                <w:lang w:val="en-US" w:eastAsia="zh-CN"/>
              </w:rPr>
              <w:t>FQ-03号</w:t>
            </w:r>
          </w:p>
        </w:tc>
        <w:tc>
          <w:tcPr>
            <w:tcW w:w="1582" w:type="dxa"/>
            <w:tcBorders>
              <w:bottom w:val="single" w:color="000000" w:sz="4" w:space="0"/>
            </w:tcBorders>
            <w:vAlign w:val="center"/>
          </w:tcPr>
          <w:p>
            <w:pPr>
              <w:pStyle w:val="15"/>
              <w:rPr>
                <w:rFonts w:ascii="Times New Roman" w:hAnsi="Times New Roman" w:cs="Times New Roman"/>
                <w:sz w:val="21"/>
              </w:rPr>
            </w:pPr>
            <w:r>
              <w:rPr>
                <w:rFonts w:ascii="Times New Roman" w:hAnsi="Times New Roman" w:cs="Times New Roman"/>
                <w:sz w:val="21"/>
              </w:rPr>
              <w:t>氮氧化物</w:t>
            </w:r>
          </w:p>
        </w:tc>
        <w:tc>
          <w:tcPr>
            <w:tcW w:w="1350" w:type="dxa"/>
            <w:tcBorders>
              <w:bottom w:val="single" w:color="000000" w:sz="4" w:space="0"/>
            </w:tcBorders>
            <w:vAlign w:val="center"/>
          </w:tcPr>
          <w:p>
            <w:pPr>
              <w:pStyle w:val="15"/>
              <w:spacing w:before="82"/>
              <w:ind w:left="161"/>
              <w:rPr>
                <w:rFonts w:ascii="Times New Roman" w:hAnsi="Times New Roman" w:cs="Times New Roman"/>
                <w:sz w:val="21"/>
              </w:rPr>
            </w:pPr>
            <w:r>
              <w:rPr>
                <w:rFonts w:ascii="Times New Roman" w:hAnsi="Times New Roman" w:cs="Times New Roman"/>
                <w:sz w:val="21"/>
              </w:rPr>
              <w:t>50mg/m</w:t>
            </w:r>
            <w:r>
              <w:rPr>
                <w:rFonts w:ascii="Times New Roman" w:hAnsi="Times New Roman" w:cs="Times New Roman"/>
                <w:sz w:val="21"/>
                <w:vertAlign w:val="superscript"/>
              </w:rPr>
              <w:t>3</w:t>
            </w:r>
          </w:p>
        </w:tc>
        <w:tc>
          <w:tcPr>
            <w:tcW w:w="1889" w:type="dxa"/>
            <w:tcBorders>
              <w:bottom w:val="single" w:color="000000" w:sz="4" w:space="0"/>
            </w:tcBorders>
            <w:vAlign w:val="center"/>
          </w:tcPr>
          <w:p>
            <w:pPr>
              <w:pStyle w:val="15"/>
              <w:spacing w:before="101"/>
              <w:ind w:left="18"/>
              <w:rPr>
                <w:rFonts w:ascii="Times New Roman" w:hAnsi="Times New Roman" w:cs="Times New Roman"/>
                <w:sz w:val="21"/>
              </w:rPr>
            </w:pPr>
            <w:r>
              <w:rPr>
                <w:rFonts w:ascii="Times New Roman" w:hAnsi="Times New Roman" w:cs="Times New Roman"/>
                <w:sz w:val="21"/>
              </w:rPr>
              <w:t>/</w:t>
            </w:r>
          </w:p>
        </w:tc>
        <w:tc>
          <w:tcPr>
            <w:tcW w:w="1987" w:type="dxa"/>
            <w:tcBorders>
              <w:bottom w:val="single" w:color="000000" w:sz="4" w:space="0"/>
            </w:tcBorders>
            <w:vAlign w:val="center"/>
          </w:tcPr>
          <w:p>
            <w:pPr>
              <w:pStyle w:val="15"/>
              <w:spacing w:line="233" w:lineRule="exact"/>
              <w:ind w:left="146"/>
              <w:rPr>
                <w:rFonts w:ascii="Times New Roman" w:hAnsi="Times New Roman" w:cs="Times New Roman"/>
                <w:sz w:val="21"/>
              </w:rPr>
            </w:pPr>
            <w:r>
              <w:rPr>
                <w:rFonts w:hint="eastAsia" w:ascii="微软雅黑" w:hAnsi="微软雅黑" w:eastAsia="微软雅黑"/>
                <w:sz w:val="18"/>
                <w:szCs w:val="18"/>
                <w:lang w:val="en-US" w:eastAsia="zh-CN"/>
              </w:rPr>
              <w:t>《</w:t>
            </w:r>
            <w:r>
              <w:rPr>
                <w:rFonts w:hint="eastAsia" w:ascii="Times New Roman" w:hAnsi="Times New Roman" w:cs="Times New Roman"/>
                <w:b w:val="0"/>
                <w:bCs/>
                <w:lang w:val="en-US" w:eastAsia="zh-CN"/>
              </w:rPr>
              <w:t>关于进一步明确燃气锅炉低氮改造相关要求的通知》(宁环办【2019】62号)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40" w:type="dxa"/>
            <w:vMerge w:val="continue"/>
          </w:tcPr>
          <w:p>
            <w:pPr>
              <w:rPr>
                <w:rFonts w:ascii="Times New Roman" w:hAnsi="Times New Roman" w:cs="Times New Roman"/>
                <w:sz w:val="2"/>
                <w:szCs w:val="2"/>
              </w:rPr>
            </w:pPr>
          </w:p>
        </w:tc>
        <w:tc>
          <w:tcPr>
            <w:tcW w:w="976" w:type="dxa"/>
            <w:vMerge w:val="continue"/>
          </w:tcPr>
          <w:p>
            <w:pPr>
              <w:rPr>
                <w:rFonts w:ascii="Times New Roman" w:hAnsi="Times New Roman" w:cs="Times New Roman"/>
                <w:sz w:val="2"/>
                <w:szCs w:val="2"/>
              </w:rPr>
            </w:pPr>
          </w:p>
        </w:tc>
        <w:tc>
          <w:tcPr>
            <w:tcW w:w="1582" w:type="dxa"/>
            <w:vAlign w:val="center"/>
          </w:tcPr>
          <w:p>
            <w:pPr>
              <w:pStyle w:val="15"/>
              <w:spacing w:before="85"/>
              <w:ind w:left="261" w:right="253"/>
              <w:rPr>
                <w:rFonts w:ascii="Times New Roman" w:hAnsi="Times New Roman" w:cs="Times New Roman"/>
                <w:sz w:val="21"/>
              </w:rPr>
            </w:pPr>
            <w:r>
              <w:rPr>
                <w:rFonts w:ascii="Times New Roman" w:hAnsi="Times New Roman" w:cs="Times New Roman"/>
                <w:sz w:val="21"/>
              </w:rPr>
              <w:t>颗粒物</w:t>
            </w:r>
          </w:p>
        </w:tc>
        <w:tc>
          <w:tcPr>
            <w:tcW w:w="1350" w:type="dxa"/>
            <w:vAlign w:val="center"/>
          </w:tcPr>
          <w:p>
            <w:pPr>
              <w:pStyle w:val="15"/>
              <w:spacing w:before="82"/>
              <w:ind w:left="214"/>
              <w:rPr>
                <w:rFonts w:ascii="Times New Roman" w:hAnsi="Times New Roman" w:cs="Times New Roman"/>
                <w:sz w:val="21"/>
              </w:rPr>
            </w:pPr>
            <w:r>
              <w:rPr>
                <w:rFonts w:ascii="Times New Roman" w:hAnsi="Times New Roman" w:cs="Times New Roman"/>
                <w:sz w:val="21"/>
              </w:rPr>
              <w:t>20mg/m</w:t>
            </w:r>
            <w:r>
              <w:rPr>
                <w:rFonts w:ascii="Times New Roman" w:hAnsi="Times New Roman" w:cs="Times New Roman"/>
                <w:sz w:val="21"/>
                <w:vertAlign w:val="superscript"/>
              </w:rPr>
              <w:t>3</w:t>
            </w:r>
          </w:p>
        </w:tc>
        <w:tc>
          <w:tcPr>
            <w:tcW w:w="1889" w:type="dxa"/>
            <w:vAlign w:val="center"/>
          </w:tcPr>
          <w:p>
            <w:pPr>
              <w:pStyle w:val="15"/>
              <w:spacing w:before="99"/>
              <w:ind w:left="18"/>
              <w:rPr>
                <w:rFonts w:ascii="Times New Roman" w:hAnsi="Times New Roman" w:cs="Times New Roman"/>
                <w:sz w:val="21"/>
              </w:rPr>
            </w:pPr>
            <w:r>
              <w:rPr>
                <w:rFonts w:ascii="Times New Roman" w:hAnsi="Times New Roman" w:cs="Times New Roman"/>
                <w:sz w:val="21"/>
              </w:rPr>
              <w:t>/</w:t>
            </w:r>
          </w:p>
        </w:tc>
        <w:tc>
          <w:tcPr>
            <w:tcW w:w="1987" w:type="dxa"/>
            <w:vMerge w:val="restart"/>
          </w:tcPr>
          <w:p>
            <w:pPr>
              <w:pStyle w:val="15"/>
              <w:spacing w:line="233" w:lineRule="exact"/>
              <w:ind w:left="146"/>
              <w:jc w:val="left"/>
              <w:rPr>
                <w:rFonts w:ascii="Times New Roman" w:hAnsi="Times New Roman" w:cs="Times New Roman"/>
                <w:sz w:val="2"/>
                <w:szCs w:val="2"/>
              </w:rPr>
            </w:pPr>
          </w:p>
          <w:p>
            <w:pPr>
              <w:bidi w:val="0"/>
              <w:jc w:val="center"/>
            </w:pPr>
            <w:r>
              <w:rPr>
                <w:rFonts w:hint="eastAsia" w:ascii="微软雅黑" w:hAnsi="微软雅黑" w:eastAsia="微软雅黑"/>
                <w:sz w:val="18"/>
                <w:szCs w:val="18"/>
                <w:lang w:val="en-US" w:eastAsia="zh-CN"/>
              </w:rPr>
              <w:t>《锅炉大气污染物排放标准》GB13271-2014 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0" w:type="dxa"/>
            <w:vMerge w:val="continue"/>
            <w:tcBorders>
              <w:bottom w:val="single" w:color="000000" w:sz="4" w:space="0"/>
            </w:tcBorders>
          </w:tcPr>
          <w:p>
            <w:pPr>
              <w:rPr>
                <w:rFonts w:ascii="Times New Roman" w:hAnsi="Times New Roman" w:cs="Times New Roman"/>
                <w:sz w:val="2"/>
                <w:szCs w:val="2"/>
              </w:rPr>
            </w:pPr>
          </w:p>
        </w:tc>
        <w:tc>
          <w:tcPr>
            <w:tcW w:w="976" w:type="dxa"/>
            <w:vMerge w:val="continue"/>
            <w:tcBorders>
              <w:bottom w:val="single" w:color="000000" w:sz="4" w:space="0"/>
            </w:tcBorders>
          </w:tcPr>
          <w:p>
            <w:pPr>
              <w:rPr>
                <w:rFonts w:ascii="Times New Roman" w:hAnsi="Times New Roman" w:cs="Times New Roman"/>
                <w:sz w:val="2"/>
                <w:szCs w:val="2"/>
              </w:rPr>
            </w:pPr>
          </w:p>
        </w:tc>
        <w:tc>
          <w:tcPr>
            <w:tcW w:w="1582" w:type="dxa"/>
            <w:tcBorders>
              <w:bottom w:val="single" w:color="000000" w:sz="4" w:space="0"/>
            </w:tcBorders>
            <w:vAlign w:val="center"/>
          </w:tcPr>
          <w:p>
            <w:pPr>
              <w:pStyle w:val="15"/>
              <w:spacing w:before="87"/>
              <w:ind w:left="281"/>
              <w:rPr>
                <w:rFonts w:ascii="Times New Roman" w:hAnsi="Times New Roman" w:cs="Times New Roman"/>
                <w:sz w:val="21"/>
              </w:rPr>
            </w:pPr>
            <w:r>
              <w:rPr>
                <w:rFonts w:ascii="Times New Roman" w:hAnsi="Times New Roman" w:cs="Times New Roman"/>
                <w:sz w:val="21"/>
              </w:rPr>
              <w:t>二氧化硫</w:t>
            </w:r>
          </w:p>
        </w:tc>
        <w:tc>
          <w:tcPr>
            <w:tcW w:w="1350" w:type="dxa"/>
            <w:tcBorders>
              <w:bottom w:val="single" w:color="000000" w:sz="4" w:space="0"/>
            </w:tcBorders>
            <w:vAlign w:val="center"/>
          </w:tcPr>
          <w:p>
            <w:pPr>
              <w:pStyle w:val="15"/>
              <w:spacing w:before="82"/>
              <w:ind w:left="214"/>
              <w:rPr>
                <w:rFonts w:ascii="Times New Roman" w:hAnsi="Times New Roman" w:cs="Times New Roman"/>
                <w:sz w:val="21"/>
              </w:rPr>
            </w:pPr>
            <w:r>
              <w:rPr>
                <w:rFonts w:ascii="Times New Roman" w:hAnsi="Times New Roman" w:cs="Times New Roman"/>
                <w:sz w:val="21"/>
              </w:rPr>
              <w:t>50mg/m</w:t>
            </w:r>
            <w:r>
              <w:rPr>
                <w:rFonts w:ascii="Times New Roman" w:hAnsi="Times New Roman" w:cs="Times New Roman"/>
                <w:sz w:val="21"/>
                <w:vertAlign w:val="superscript"/>
              </w:rPr>
              <w:t>3</w:t>
            </w:r>
          </w:p>
        </w:tc>
        <w:tc>
          <w:tcPr>
            <w:tcW w:w="1889" w:type="dxa"/>
            <w:tcBorders>
              <w:bottom w:val="single" w:color="000000" w:sz="4" w:space="0"/>
            </w:tcBorders>
            <w:vAlign w:val="center"/>
          </w:tcPr>
          <w:p>
            <w:pPr>
              <w:pStyle w:val="15"/>
              <w:spacing w:before="54"/>
              <w:ind w:left="16"/>
              <w:rPr>
                <w:rFonts w:ascii="Times New Roman" w:hAnsi="Times New Roman" w:cs="Times New Roman"/>
                <w:sz w:val="24"/>
              </w:rPr>
            </w:pPr>
            <w:r>
              <w:rPr>
                <w:rFonts w:ascii="Times New Roman" w:hAnsi="Times New Roman" w:cs="Times New Roman"/>
                <w:sz w:val="24"/>
              </w:rPr>
              <w:t>/</w:t>
            </w:r>
          </w:p>
        </w:tc>
        <w:tc>
          <w:tcPr>
            <w:tcW w:w="1987" w:type="dxa"/>
            <w:vMerge w:val="continue"/>
          </w:tcPr>
          <w:p>
            <w:pPr>
              <w:pStyle w:val="15"/>
              <w:spacing w:line="233" w:lineRule="exact"/>
              <w:ind w:left="146"/>
              <w:jc w:val="left"/>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atLeast"/>
        </w:trPr>
        <w:tc>
          <w:tcPr>
            <w:tcW w:w="840" w:type="dxa"/>
            <w:vMerge w:val="continue"/>
          </w:tcPr>
          <w:p>
            <w:pPr>
              <w:rPr>
                <w:rFonts w:ascii="Times New Roman" w:hAnsi="Times New Roman" w:cs="Times New Roman"/>
                <w:sz w:val="2"/>
                <w:szCs w:val="2"/>
              </w:rPr>
            </w:pPr>
          </w:p>
        </w:tc>
        <w:tc>
          <w:tcPr>
            <w:tcW w:w="976" w:type="dxa"/>
            <w:vMerge w:val="continue"/>
          </w:tcPr>
          <w:p>
            <w:pPr>
              <w:rPr>
                <w:rFonts w:ascii="Times New Roman" w:hAnsi="Times New Roman" w:cs="Times New Roman"/>
                <w:sz w:val="2"/>
                <w:szCs w:val="2"/>
              </w:rPr>
            </w:pPr>
          </w:p>
        </w:tc>
        <w:tc>
          <w:tcPr>
            <w:tcW w:w="1582" w:type="dxa"/>
            <w:vAlign w:val="center"/>
          </w:tcPr>
          <w:p>
            <w:pPr>
              <w:pStyle w:val="15"/>
              <w:spacing w:before="85"/>
              <w:ind w:left="175"/>
              <w:rPr>
                <w:rFonts w:ascii="Times New Roman" w:hAnsi="Times New Roman" w:cs="Times New Roman"/>
                <w:sz w:val="21"/>
              </w:rPr>
            </w:pPr>
            <w:r>
              <w:rPr>
                <w:rFonts w:ascii="Times New Roman" w:hAnsi="Times New Roman" w:cs="Times New Roman"/>
                <w:sz w:val="21"/>
              </w:rPr>
              <w:t>格林曼黑度</w:t>
            </w:r>
          </w:p>
        </w:tc>
        <w:tc>
          <w:tcPr>
            <w:tcW w:w="1350" w:type="dxa"/>
            <w:vAlign w:val="center"/>
          </w:tcPr>
          <w:p>
            <w:pPr>
              <w:pStyle w:val="15"/>
              <w:spacing w:before="68"/>
              <w:ind w:left="173"/>
              <w:rPr>
                <w:rFonts w:ascii="Times New Roman" w:hAnsi="Times New Roman" w:cs="Times New Roman"/>
                <w:sz w:val="21"/>
              </w:rPr>
            </w:pPr>
            <w:r>
              <w:rPr>
                <w:rFonts w:ascii="Times New Roman" w:hAnsi="Times New Roman" w:eastAsia="Times New Roman" w:cs="Times New Roman"/>
                <w:sz w:val="21"/>
              </w:rPr>
              <w:t>≤1</w:t>
            </w:r>
            <w:r>
              <w:rPr>
                <w:rFonts w:ascii="Times New Roman" w:hAnsi="Times New Roman" w:cs="Times New Roman"/>
                <w:sz w:val="21"/>
              </w:rPr>
              <w:t>（级）</w:t>
            </w:r>
          </w:p>
        </w:tc>
        <w:tc>
          <w:tcPr>
            <w:tcW w:w="1889" w:type="dxa"/>
            <w:vAlign w:val="center"/>
          </w:tcPr>
          <w:p>
            <w:pPr>
              <w:pStyle w:val="15"/>
              <w:spacing w:before="54"/>
              <w:ind w:left="16"/>
              <w:rPr>
                <w:rFonts w:ascii="Times New Roman" w:hAnsi="Times New Roman" w:cs="Times New Roman"/>
                <w:sz w:val="24"/>
              </w:rPr>
            </w:pPr>
            <w:r>
              <w:rPr>
                <w:rFonts w:ascii="Times New Roman" w:hAnsi="Times New Roman" w:cs="Times New Roman"/>
                <w:sz w:val="24"/>
              </w:rPr>
              <w:t>/</w:t>
            </w:r>
          </w:p>
        </w:tc>
        <w:tc>
          <w:tcPr>
            <w:tcW w:w="1987" w:type="dxa"/>
            <w:vMerge w:val="continue"/>
          </w:tcPr>
          <w:p>
            <w:pP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0" w:type="dxa"/>
            <w:vMerge w:val="restart"/>
            <w:vAlign w:val="center"/>
          </w:tcPr>
          <w:p>
            <w:pPr>
              <w:bidi w:val="0"/>
              <w:jc w:val="center"/>
              <w:rPr>
                <w:rFonts w:hint="eastAsia" w:ascii="微软雅黑" w:hAnsi="微软雅黑" w:eastAsia="微软雅黑" w:cs="宋体"/>
                <w:sz w:val="18"/>
                <w:szCs w:val="18"/>
                <w:lang w:val="zh-CN" w:eastAsia="zh-CN"/>
              </w:rPr>
            </w:pPr>
            <w:r>
              <w:rPr>
                <w:rFonts w:hint="eastAsia" w:ascii="微软雅黑" w:hAnsi="微软雅黑" w:eastAsia="微软雅黑" w:cs="宋体"/>
                <w:sz w:val="18"/>
                <w:szCs w:val="18"/>
                <w:lang w:val="en-US" w:eastAsia="zh-CN"/>
              </w:rPr>
              <w:t>一般排放口</w:t>
            </w:r>
          </w:p>
          <w:p>
            <w:pPr>
              <w:bidi w:val="0"/>
              <w:jc w:val="center"/>
              <w:rPr>
                <w:rFonts w:hint="eastAsia" w:ascii="微软雅黑" w:hAnsi="微软雅黑" w:eastAsia="微软雅黑" w:cs="宋体"/>
                <w:sz w:val="18"/>
                <w:szCs w:val="18"/>
                <w:lang w:val="en-US" w:eastAsia="zh-CN"/>
              </w:rPr>
            </w:pPr>
          </w:p>
        </w:tc>
        <w:tc>
          <w:tcPr>
            <w:tcW w:w="976" w:type="dxa"/>
            <w:vMerge w:val="restart"/>
            <w:vAlign w:val="center"/>
          </w:tcPr>
          <w:p>
            <w:pPr>
              <w:bidi w:val="0"/>
              <w:jc w:val="center"/>
              <w:rPr>
                <w:rFonts w:hint="eastAsia" w:ascii="微软雅黑" w:hAnsi="微软雅黑" w:eastAsia="微软雅黑" w:cs="宋体"/>
                <w:sz w:val="18"/>
                <w:szCs w:val="18"/>
                <w:lang w:val="en-US" w:eastAsia="zh-CN"/>
              </w:rPr>
            </w:pPr>
            <w:r>
              <w:rPr>
                <w:rFonts w:hint="eastAsia" w:ascii="Times New Roman" w:hAnsi="Times New Roman" w:eastAsia="宋体" w:cs="Times New Roman"/>
                <w:sz w:val="21"/>
                <w:szCs w:val="22"/>
                <w:lang w:val="en-US" w:eastAsia="zh-CN" w:bidi="zh-CN"/>
              </w:rPr>
              <w:t>FQ-04</w:t>
            </w:r>
            <w:r>
              <w:rPr>
                <w:rFonts w:hint="eastAsia" w:ascii="Times New Roman" w:hAnsi="Times New Roman" w:cs="Times New Roman"/>
                <w:sz w:val="21"/>
                <w:szCs w:val="22"/>
                <w:lang w:val="en-US" w:eastAsia="zh-CN" w:bidi="zh-CN"/>
              </w:rPr>
              <w:t>号</w:t>
            </w:r>
          </w:p>
        </w:tc>
        <w:tc>
          <w:tcPr>
            <w:tcW w:w="1582" w:type="dxa"/>
            <w:vAlign w:val="center"/>
          </w:tcPr>
          <w:p>
            <w:pPr>
              <w:bidi w:val="0"/>
              <w:jc w:val="center"/>
              <w:rPr>
                <w:rFonts w:hint="eastAsia" w:ascii="微软雅黑" w:hAnsi="微软雅黑" w:eastAsia="微软雅黑" w:cs="宋体"/>
                <w:sz w:val="18"/>
                <w:szCs w:val="18"/>
                <w:lang w:val="zh-CN" w:eastAsia="zh-CN"/>
              </w:rPr>
            </w:pPr>
            <w:r>
              <w:rPr>
                <w:rFonts w:hint="eastAsia" w:ascii="微软雅黑" w:hAnsi="微软雅黑" w:eastAsia="微软雅黑" w:cs="宋体"/>
                <w:sz w:val="18"/>
                <w:szCs w:val="18"/>
                <w:lang w:val="en-US" w:eastAsia="zh-CN"/>
              </w:rPr>
              <w:t>氨</w:t>
            </w:r>
          </w:p>
        </w:tc>
        <w:tc>
          <w:tcPr>
            <w:tcW w:w="1350" w:type="dxa"/>
            <w:vAlign w:val="center"/>
          </w:tcPr>
          <w:p>
            <w:pPr>
              <w:bidi w:val="0"/>
              <w:jc w:val="center"/>
              <w:rPr>
                <w:rFonts w:hint="eastAsia" w:ascii="微软雅黑" w:hAnsi="微软雅黑" w:eastAsia="微软雅黑" w:cs="宋体"/>
                <w:sz w:val="18"/>
                <w:szCs w:val="18"/>
                <w:lang w:val="zh-CN" w:eastAsia="zh-CN"/>
              </w:rPr>
            </w:pPr>
            <w:r>
              <w:rPr>
                <w:rFonts w:hint="eastAsia" w:ascii="微软雅黑" w:hAnsi="微软雅黑" w:eastAsia="微软雅黑" w:cs="宋体"/>
                <w:sz w:val="18"/>
                <w:szCs w:val="18"/>
                <w:lang w:val="en-US" w:eastAsia="zh-CN"/>
              </w:rPr>
              <w:t>/</w:t>
            </w:r>
          </w:p>
        </w:tc>
        <w:tc>
          <w:tcPr>
            <w:tcW w:w="1889" w:type="dxa"/>
            <w:vAlign w:val="center"/>
          </w:tcPr>
          <w:p>
            <w:pPr>
              <w:bidi w:val="0"/>
              <w:jc w:val="center"/>
              <w:rPr>
                <w:rFonts w:hint="default"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75</w:t>
            </w:r>
          </w:p>
        </w:tc>
        <w:tc>
          <w:tcPr>
            <w:tcW w:w="1987" w:type="dxa"/>
            <w:vMerge w:val="restart"/>
          </w:tcPr>
          <w:p>
            <w:pPr>
              <w:bidi w:val="0"/>
              <w:jc w:val="center"/>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《恶臭污染物放标准》</w:t>
            </w:r>
          </w:p>
          <w:p>
            <w:pPr>
              <w:bidi w:val="0"/>
              <w:jc w:val="center"/>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GB14554-93 表2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40" w:type="dxa"/>
            <w:vMerge w:val="continue"/>
          </w:tcPr>
          <w:p>
            <w:pPr>
              <w:rPr>
                <w:rFonts w:ascii="Times New Roman" w:hAnsi="Times New Roman" w:cs="Times New Roman"/>
                <w:sz w:val="2"/>
                <w:szCs w:val="2"/>
              </w:rPr>
            </w:pPr>
          </w:p>
        </w:tc>
        <w:tc>
          <w:tcPr>
            <w:tcW w:w="976" w:type="dxa"/>
            <w:vMerge w:val="continue"/>
          </w:tcPr>
          <w:p>
            <w:pPr>
              <w:rPr>
                <w:rFonts w:ascii="Times New Roman" w:hAnsi="Times New Roman" w:cs="Times New Roman"/>
                <w:sz w:val="2"/>
                <w:szCs w:val="2"/>
              </w:rPr>
            </w:pPr>
          </w:p>
        </w:tc>
        <w:tc>
          <w:tcPr>
            <w:tcW w:w="1582" w:type="dxa"/>
            <w:vAlign w:val="center"/>
          </w:tcPr>
          <w:p>
            <w:pPr>
              <w:bidi w:val="0"/>
              <w:jc w:val="center"/>
              <w:rPr>
                <w:rFonts w:hint="eastAsia" w:ascii="微软雅黑" w:hAnsi="微软雅黑" w:eastAsia="微软雅黑" w:cs="宋体"/>
                <w:sz w:val="18"/>
                <w:szCs w:val="18"/>
                <w:lang w:val="zh-CN" w:eastAsia="zh-CN"/>
              </w:rPr>
            </w:pPr>
            <w:r>
              <w:rPr>
                <w:rFonts w:hint="eastAsia" w:ascii="微软雅黑" w:hAnsi="微软雅黑" w:eastAsia="微软雅黑" w:cs="宋体"/>
                <w:sz w:val="18"/>
                <w:szCs w:val="18"/>
                <w:lang w:val="en-US" w:eastAsia="zh-CN"/>
              </w:rPr>
              <w:t>硫化氢</w:t>
            </w:r>
          </w:p>
        </w:tc>
        <w:tc>
          <w:tcPr>
            <w:tcW w:w="1350" w:type="dxa"/>
            <w:vAlign w:val="center"/>
          </w:tcPr>
          <w:p>
            <w:pPr>
              <w:bidi w:val="0"/>
              <w:jc w:val="center"/>
              <w:rPr>
                <w:rFonts w:hint="eastAsia" w:ascii="微软雅黑" w:hAnsi="微软雅黑" w:eastAsia="微软雅黑" w:cs="宋体"/>
                <w:sz w:val="18"/>
                <w:szCs w:val="18"/>
                <w:lang w:val="zh-CN" w:eastAsia="zh-CN"/>
              </w:rPr>
            </w:pPr>
            <w:r>
              <w:rPr>
                <w:rFonts w:hint="eastAsia" w:ascii="微软雅黑" w:hAnsi="微软雅黑" w:eastAsia="微软雅黑" w:cs="宋体"/>
                <w:sz w:val="18"/>
                <w:szCs w:val="18"/>
                <w:lang w:val="en-US" w:eastAsia="zh-CN"/>
              </w:rPr>
              <w:t>/</w:t>
            </w:r>
          </w:p>
        </w:tc>
        <w:tc>
          <w:tcPr>
            <w:tcW w:w="1889" w:type="dxa"/>
            <w:vAlign w:val="center"/>
          </w:tcPr>
          <w:p>
            <w:pPr>
              <w:bidi w:val="0"/>
              <w:jc w:val="center"/>
              <w:rPr>
                <w:rFonts w:hint="default"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14</w:t>
            </w:r>
          </w:p>
        </w:tc>
        <w:tc>
          <w:tcPr>
            <w:tcW w:w="1987" w:type="dxa"/>
            <w:vMerge w:val="continue"/>
          </w:tcPr>
          <w:p>
            <w:pP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40" w:type="dxa"/>
            <w:vMerge w:val="continue"/>
            <w:tcBorders>
              <w:bottom w:val="single" w:color="000000" w:sz="4" w:space="0"/>
            </w:tcBorders>
          </w:tcPr>
          <w:p>
            <w:pPr>
              <w:rPr>
                <w:rFonts w:ascii="Times New Roman" w:hAnsi="Times New Roman" w:cs="Times New Roman"/>
                <w:sz w:val="2"/>
                <w:szCs w:val="2"/>
              </w:rPr>
            </w:pPr>
          </w:p>
        </w:tc>
        <w:tc>
          <w:tcPr>
            <w:tcW w:w="976" w:type="dxa"/>
            <w:vMerge w:val="continue"/>
            <w:tcBorders>
              <w:bottom w:val="single" w:color="000000" w:sz="4" w:space="0"/>
            </w:tcBorders>
          </w:tcPr>
          <w:p>
            <w:pPr>
              <w:rPr>
                <w:rFonts w:ascii="Times New Roman" w:hAnsi="Times New Roman" w:cs="Times New Roman"/>
                <w:sz w:val="2"/>
                <w:szCs w:val="2"/>
              </w:rPr>
            </w:pPr>
          </w:p>
        </w:tc>
        <w:tc>
          <w:tcPr>
            <w:tcW w:w="1582" w:type="dxa"/>
            <w:tcBorders>
              <w:bottom w:val="single" w:color="000000" w:sz="4" w:space="0"/>
            </w:tcBorders>
            <w:vAlign w:val="center"/>
          </w:tcPr>
          <w:p>
            <w:pPr>
              <w:bidi w:val="0"/>
              <w:jc w:val="center"/>
              <w:rPr>
                <w:rFonts w:hint="eastAsia" w:ascii="微软雅黑" w:hAnsi="微软雅黑" w:eastAsia="微软雅黑" w:cs="宋体"/>
                <w:sz w:val="18"/>
                <w:szCs w:val="18"/>
                <w:lang w:val="zh-CN" w:eastAsia="zh-CN"/>
              </w:rPr>
            </w:pPr>
            <w:r>
              <w:rPr>
                <w:rFonts w:hint="eastAsia" w:ascii="微软雅黑" w:hAnsi="微软雅黑" w:eastAsia="微软雅黑" w:cs="宋体"/>
                <w:sz w:val="18"/>
                <w:szCs w:val="18"/>
                <w:lang w:val="en-US" w:eastAsia="zh-CN"/>
              </w:rPr>
              <w:t>臭气浓度</w:t>
            </w:r>
          </w:p>
        </w:tc>
        <w:tc>
          <w:tcPr>
            <w:tcW w:w="1350" w:type="dxa"/>
            <w:tcBorders>
              <w:bottom w:val="single" w:color="000000" w:sz="4" w:space="0"/>
            </w:tcBorders>
            <w:vAlign w:val="center"/>
          </w:tcPr>
          <w:p>
            <w:pPr>
              <w:bidi w:val="0"/>
              <w:jc w:val="center"/>
              <w:rPr>
                <w:rFonts w:hint="eastAsia" w:ascii="微软雅黑" w:hAnsi="微软雅黑" w:eastAsia="微软雅黑" w:cs="宋体"/>
                <w:sz w:val="18"/>
                <w:szCs w:val="18"/>
                <w:lang w:val="zh-CN" w:eastAsia="zh-CN"/>
              </w:rPr>
            </w:pPr>
            <w:r>
              <w:rPr>
                <w:rFonts w:hint="eastAsia" w:ascii="微软雅黑" w:hAnsi="微软雅黑" w:eastAsia="微软雅黑" w:cs="宋体"/>
                <w:sz w:val="18"/>
                <w:szCs w:val="18"/>
                <w:lang w:val="en-US" w:eastAsia="zh-CN"/>
              </w:rPr>
              <w:t>60000(无量纲)</w:t>
            </w:r>
          </w:p>
        </w:tc>
        <w:tc>
          <w:tcPr>
            <w:tcW w:w="1889" w:type="dxa"/>
            <w:tcBorders>
              <w:bottom w:val="single" w:color="000000" w:sz="4" w:space="0"/>
            </w:tcBorders>
            <w:vAlign w:val="center"/>
          </w:tcPr>
          <w:p>
            <w:pPr>
              <w:bidi w:val="0"/>
              <w:jc w:val="center"/>
              <w:rPr>
                <w:rFonts w:hint="eastAsia" w:ascii="微软雅黑" w:hAnsi="微软雅黑" w:eastAsia="微软雅黑" w:cs="宋体"/>
                <w:sz w:val="18"/>
                <w:szCs w:val="18"/>
                <w:lang w:val="zh-CN" w:eastAsia="zh-CN"/>
              </w:rPr>
            </w:pPr>
            <w:r>
              <w:rPr>
                <w:rFonts w:hint="eastAsia" w:ascii="微软雅黑" w:hAnsi="微软雅黑" w:eastAsia="微软雅黑" w:cs="宋体"/>
                <w:sz w:val="18"/>
                <w:szCs w:val="18"/>
                <w:lang w:val="en-US" w:eastAsia="zh-CN"/>
              </w:rPr>
              <w:t>/</w:t>
            </w:r>
          </w:p>
        </w:tc>
        <w:tc>
          <w:tcPr>
            <w:tcW w:w="1987" w:type="dxa"/>
            <w:vMerge w:val="continue"/>
            <w:tcBorders>
              <w:bottom w:val="single" w:color="000000" w:sz="4" w:space="0"/>
            </w:tcBorders>
          </w:tcPr>
          <w:p>
            <w:pPr>
              <w:rPr>
                <w:rFonts w:ascii="Times New Roman" w:hAnsi="Times New Roman" w:cs="Times New Roman"/>
                <w:sz w:val="2"/>
                <w:szCs w:val="2"/>
              </w:rPr>
            </w:pPr>
          </w:p>
        </w:tc>
      </w:tr>
      <w:bookmarkEnd w:id="1"/>
    </w:tbl>
    <w:p>
      <w:pPr>
        <w:pStyle w:val="2"/>
        <w:ind w:firstLine="480"/>
        <w:rPr>
          <w:rFonts w:ascii="Times New Roman" w:hAnsi="Times New Roman" w:cs="Times New Roman"/>
        </w:rPr>
      </w:pPr>
      <w:r>
        <w:rPr>
          <w:rFonts w:ascii="Times New Roman" w:hAnsi="Times New Roman" w:cs="Times New Roman"/>
        </w:rPr>
        <w:t>4、废气有组织排放监测仪器设备</w:t>
      </w:r>
    </w:p>
    <w:p>
      <w:pPr>
        <w:pStyle w:val="2"/>
        <w:ind w:firstLine="480"/>
        <w:rPr>
          <w:rFonts w:ascii="Times New Roman" w:hAnsi="Times New Roman" w:cs="Times New Roman"/>
        </w:rPr>
      </w:pPr>
      <w:r>
        <w:rPr>
          <w:rFonts w:ascii="Times New Roman" w:hAnsi="Times New Roman" w:cs="Times New Roman"/>
        </w:rPr>
        <w:t>废气有组织排放手工监测仪器设见表 4。</w:t>
      </w:r>
    </w:p>
    <w:p>
      <w:pPr>
        <w:pStyle w:val="20"/>
        <w:rPr>
          <w:rFonts w:cs="Times New Roman"/>
        </w:rPr>
      </w:pPr>
      <w:r>
        <w:rPr>
          <w:rFonts w:cs="Times New Roman"/>
        </w:rPr>
        <w:t>表 4</w:t>
      </w:r>
      <w:r>
        <w:rPr>
          <w:rFonts w:cs="Times New Roman"/>
        </w:rPr>
        <w:tab/>
      </w:r>
      <w:r>
        <w:rPr>
          <w:rFonts w:cs="Times New Roman"/>
        </w:rPr>
        <w:t>废气有组织排放手工监测仪器设备表</w:t>
      </w:r>
    </w:p>
    <w:tbl>
      <w:tblPr>
        <w:tblStyle w:val="21"/>
        <w:tblW w:w="8526"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1484"/>
        <w:gridCol w:w="2485"/>
        <w:gridCol w:w="1861"/>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85" w:type="dxa"/>
            <w:vAlign w:val="center"/>
          </w:tcPr>
          <w:p>
            <w:pPr>
              <w:pStyle w:val="15"/>
              <w:spacing w:before="87"/>
              <w:ind w:left="271"/>
              <w:rPr>
                <w:rFonts w:ascii="Times New Roman" w:hAnsi="Times New Roman" w:cs="Times New Roman"/>
                <w:b/>
                <w:sz w:val="21"/>
              </w:rPr>
            </w:pPr>
            <w:r>
              <w:rPr>
                <w:rFonts w:ascii="Times New Roman" w:hAnsi="Times New Roman" w:cs="Times New Roman"/>
                <w:b/>
                <w:sz w:val="21"/>
              </w:rPr>
              <w:t>监测点位</w:t>
            </w:r>
          </w:p>
        </w:tc>
        <w:tc>
          <w:tcPr>
            <w:tcW w:w="1484" w:type="dxa"/>
            <w:vAlign w:val="center"/>
          </w:tcPr>
          <w:p>
            <w:pPr>
              <w:pStyle w:val="15"/>
              <w:spacing w:before="87"/>
              <w:ind w:left="195" w:right="187"/>
              <w:rPr>
                <w:rFonts w:ascii="Times New Roman" w:hAnsi="Times New Roman" w:cs="Times New Roman"/>
                <w:b/>
                <w:sz w:val="21"/>
              </w:rPr>
            </w:pPr>
            <w:r>
              <w:rPr>
                <w:rFonts w:ascii="Times New Roman" w:hAnsi="Times New Roman" w:cs="Times New Roman"/>
                <w:b/>
                <w:sz w:val="21"/>
              </w:rPr>
              <w:t>监测项目</w:t>
            </w:r>
          </w:p>
        </w:tc>
        <w:tc>
          <w:tcPr>
            <w:tcW w:w="2485" w:type="dxa"/>
            <w:vAlign w:val="center"/>
          </w:tcPr>
          <w:p>
            <w:pPr>
              <w:pStyle w:val="15"/>
              <w:spacing w:before="87"/>
              <w:ind w:left="62" w:right="57"/>
              <w:rPr>
                <w:rFonts w:ascii="Times New Roman" w:hAnsi="Times New Roman" w:cs="Times New Roman"/>
                <w:b/>
                <w:sz w:val="21"/>
              </w:rPr>
            </w:pPr>
            <w:r>
              <w:rPr>
                <w:rFonts w:ascii="Times New Roman" w:hAnsi="Times New Roman" w:cs="Times New Roman"/>
                <w:b/>
                <w:sz w:val="21"/>
              </w:rPr>
              <w:t>仪器</w:t>
            </w:r>
          </w:p>
        </w:tc>
        <w:tc>
          <w:tcPr>
            <w:tcW w:w="1861" w:type="dxa"/>
            <w:vAlign w:val="center"/>
          </w:tcPr>
          <w:p>
            <w:pPr>
              <w:pStyle w:val="15"/>
              <w:spacing w:before="87"/>
              <w:ind w:left="80" w:right="72"/>
              <w:rPr>
                <w:rFonts w:ascii="Times New Roman" w:hAnsi="Times New Roman" w:cs="Times New Roman"/>
                <w:b/>
                <w:sz w:val="21"/>
              </w:rPr>
            </w:pPr>
            <w:r>
              <w:rPr>
                <w:rFonts w:ascii="Times New Roman" w:hAnsi="Times New Roman" w:cs="Times New Roman"/>
                <w:b/>
                <w:sz w:val="21"/>
              </w:rPr>
              <w:t>规格型号</w:t>
            </w:r>
          </w:p>
        </w:tc>
        <w:tc>
          <w:tcPr>
            <w:tcW w:w="1311" w:type="dxa"/>
            <w:vAlign w:val="center"/>
          </w:tcPr>
          <w:p>
            <w:pPr>
              <w:pStyle w:val="15"/>
              <w:spacing w:before="87"/>
              <w:ind w:left="313" w:right="312"/>
              <w:rPr>
                <w:rFonts w:ascii="Times New Roman" w:hAnsi="Times New Roman" w:cs="Times New Roman"/>
                <w:b/>
                <w:sz w:val="21"/>
              </w:rPr>
            </w:pPr>
            <w:r>
              <w:rPr>
                <w:rFonts w:ascii="Times New Roman" w:hAnsi="Times New Roman"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85" w:type="dxa"/>
            <w:vMerge w:val="restart"/>
            <w:vAlign w:val="center"/>
          </w:tcPr>
          <w:p>
            <w:pPr>
              <w:pStyle w:val="15"/>
              <w:spacing w:before="1" w:line="285" w:lineRule="auto"/>
              <w:ind w:left="482" w:right="153" w:hanging="317"/>
              <w:rPr>
                <w:rFonts w:ascii="Times New Roman" w:hAnsi="Times New Roman" w:cs="Times New Roman"/>
                <w:sz w:val="21"/>
              </w:rPr>
            </w:pPr>
            <w:r>
              <w:rPr>
                <w:rFonts w:ascii="Times New Roman" w:hAnsi="Times New Roman" w:cs="Times New Roman"/>
                <w:sz w:val="21"/>
              </w:rPr>
              <w:t>天然气锅炉排口</w:t>
            </w:r>
          </w:p>
        </w:tc>
        <w:tc>
          <w:tcPr>
            <w:tcW w:w="1484" w:type="dxa"/>
            <w:vAlign w:val="center"/>
          </w:tcPr>
          <w:p>
            <w:pPr>
              <w:pStyle w:val="15"/>
              <w:spacing w:before="85"/>
              <w:ind w:left="197" w:right="187"/>
              <w:rPr>
                <w:rFonts w:ascii="Times New Roman" w:hAnsi="Times New Roman" w:cs="Times New Roman"/>
                <w:sz w:val="21"/>
              </w:rPr>
            </w:pPr>
            <w:r>
              <w:rPr>
                <w:rFonts w:ascii="Times New Roman" w:hAnsi="Times New Roman" w:cs="Times New Roman"/>
                <w:sz w:val="21"/>
              </w:rPr>
              <w:t>格林曼黑度</w:t>
            </w:r>
          </w:p>
        </w:tc>
        <w:tc>
          <w:tcPr>
            <w:tcW w:w="2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林格曼烟气黑度图</w:t>
            </w:r>
          </w:p>
        </w:tc>
        <w:tc>
          <w:tcPr>
            <w:tcW w:w="1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JCP-HB</w:t>
            </w:r>
          </w:p>
        </w:tc>
        <w:tc>
          <w:tcPr>
            <w:tcW w:w="1311" w:type="dxa"/>
            <w:vMerge w:val="restart"/>
            <w:vAlign w:val="center"/>
          </w:tcPr>
          <w:p>
            <w:pPr>
              <w:pStyle w:val="15"/>
              <w:spacing w:before="85"/>
              <w:ind w:left="318" w:right="312"/>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85" w:type="dxa"/>
            <w:vMerge w:val="continue"/>
            <w:vAlign w:val="center"/>
          </w:tcPr>
          <w:p>
            <w:pPr>
              <w:jc w:val="center"/>
              <w:rPr>
                <w:rFonts w:ascii="Times New Roman" w:hAnsi="Times New Roman" w:cs="Times New Roman"/>
                <w:sz w:val="2"/>
                <w:szCs w:val="2"/>
              </w:rPr>
            </w:pPr>
          </w:p>
        </w:tc>
        <w:tc>
          <w:tcPr>
            <w:tcW w:w="1484" w:type="dxa"/>
            <w:vAlign w:val="center"/>
          </w:tcPr>
          <w:p>
            <w:pPr>
              <w:pStyle w:val="15"/>
              <w:spacing w:before="85"/>
              <w:ind w:left="195" w:right="187"/>
              <w:rPr>
                <w:rFonts w:ascii="Times New Roman" w:hAnsi="Times New Roman" w:cs="Times New Roman"/>
                <w:sz w:val="21"/>
              </w:rPr>
            </w:pPr>
            <w:r>
              <w:rPr>
                <w:rFonts w:ascii="Times New Roman" w:hAnsi="Times New Roman" w:cs="Times New Roman"/>
                <w:sz w:val="21"/>
              </w:rPr>
              <w:t>颗粒物</w:t>
            </w:r>
          </w:p>
        </w:tc>
        <w:tc>
          <w:tcPr>
            <w:tcW w:w="2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恒温恒湿称重系统</w:t>
            </w:r>
          </w:p>
        </w:tc>
        <w:tc>
          <w:tcPr>
            <w:tcW w:w="1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LB-350N</w:t>
            </w:r>
          </w:p>
        </w:tc>
        <w:tc>
          <w:tcPr>
            <w:tcW w:w="1311" w:type="dxa"/>
            <w:vMerge w:val="continue"/>
            <w:vAlign w:val="center"/>
          </w:tcPr>
          <w:p>
            <w:pPr>
              <w:pStyle w:val="15"/>
              <w:spacing w:before="85"/>
              <w:ind w:left="318" w:right="312"/>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85" w:type="dxa"/>
            <w:vMerge w:val="continue"/>
            <w:vAlign w:val="center"/>
          </w:tcPr>
          <w:p>
            <w:pPr>
              <w:jc w:val="center"/>
              <w:rPr>
                <w:rFonts w:ascii="Times New Roman" w:hAnsi="Times New Roman" w:cs="Times New Roman"/>
                <w:sz w:val="2"/>
                <w:szCs w:val="2"/>
              </w:rPr>
            </w:pPr>
          </w:p>
        </w:tc>
        <w:tc>
          <w:tcPr>
            <w:tcW w:w="1484" w:type="dxa"/>
            <w:vAlign w:val="center"/>
          </w:tcPr>
          <w:p>
            <w:pPr>
              <w:pStyle w:val="15"/>
              <w:spacing w:before="85"/>
              <w:ind w:left="197" w:right="187"/>
              <w:rPr>
                <w:rFonts w:ascii="Times New Roman" w:hAnsi="Times New Roman" w:cs="Times New Roman"/>
                <w:sz w:val="21"/>
              </w:rPr>
            </w:pPr>
            <w:r>
              <w:rPr>
                <w:rFonts w:ascii="Times New Roman" w:hAnsi="Times New Roman" w:cs="Times New Roman"/>
                <w:sz w:val="21"/>
              </w:rPr>
              <w:t>二氧化硫</w:t>
            </w:r>
          </w:p>
        </w:tc>
        <w:tc>
          <w:tcPr>
            <w:tcW w:w="2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自动烟尘(气)测试仪</w:t>
            </w:r>
          </w:p>
        </w:tc>
        <w:tc>
          <w:tcPr>
            <w:tcW w:w="1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JCY-80E(S)</w:t>
            </w:r>
          </w:p>
        </w:tc>
        <w:tc>
          <w:tcPr>
            <w:tcW w:w="1311" w:type="dxa"/>
            <w:vMerge w:val="continue"/>
            <w:vAlign w:val="center"/>
          </w:tcPr>
          <w:p>
            <w:pPr>
              <w:pStyle w:val="15"/>
              <w:spacing w:before="85"/>
              <w:ind w:left="318" w:right="312"/>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85" w:type="dxa"/>
            <w:vMerge w:val="continue"/>
            <w:tcBorders>
              <w:bottom w:val="nil"/>
            </w:tcBorders>
            <w:vAlign w:val="center"/>
          </w:tcPr>
          <w:p>
            <w:pPr>
              <w:jc w:val="center"/>
              <w:rPr>
                <w:rFonts w:ascii="Times New Roman" w:hAnsi="Times New Roman" w:cs="Times New Roman"/>
                <w:sz w:val="2"/>
                <w:szCs w:val="2"/>
              </w:rPr>
            </w:pPr>
          </w:p>
        </w:tc>
        <w:tc>
          <w:tcPr>
            <w:tcW w:w="1484" w:type="dxa"/>
            <w:vAlign w:val="center"/>
          </w:tcPr>
          <w:p>
            <w:pPr>
              <w:pStyle w:val="15"/>
              <w:spacing w:before="85"/>
              <w:ind w:left="197" w:right="187"/>
              <w:rPr>
                <w:rFonts w:ascii="Times New Roman" w:hAnsi="Times New Roman" w:cs="Times New Roman"/>
                <w:sz w:val="21"/>
              </w:rPr>
            </w:pPr>
            <w:r>
              <w:rPr>
                <w:rFonts w:ascii="Times New Roman" w:hAnsi="Times New Roman" w:cs="Times New Roman"/>
                <w:sz w:val="21"/>
              </w:rPr>
              <w:t>氮氧化物</w:t>
            </w:r>
          </w:p>
        </w:tc>
        <w:tc>
          <w:tcPr>
            <w:tcW w:w="2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自动烟尘(气)测试仪</w:t>
            </w:r>
          </w:p>
        </w:tc>
        <w:tc>
          <w:tcPr>
            <w:tcW w:w="1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JCY-80E(S)</w:t>
            </w:r>
          </w:p>
        </w:tc>
        <w:tc>
          <w:tcPr>
            <w:tcW w:w="1311" w:type="dxa"/>
            <w:vMerge w:val="continue"/>
            <w:vAlign w:val="center"/>
          </w:tcPr>
          <w:p>
            <w:pPr>
              <w:pStyle w:val="15"/>
              <w:spacing w:before="85"/>
              <w:ind w:left="318" w:right="312"/>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85" w:type="dxa"/>
            <w:vMerge w:val="restart"/>
            <w:tcBorders>
              <w:top w:val="nil"/>
            </w:tcBorders>
            <w:vAlign w:val="center"/>
          </w:tcPr>
          <w:p>
            <w:pPr>
              <w:jc w:val="center"/>
              <w:rPr>
                <w:rFonts w:hint="default" w:ascii="Times New Roman" w:hAnsi="Times New Roman" w:eastAsia="宋体" w:cs="Times New Roman"/>
                <w:sz w:val="2"/>
                <w:szCs w:val="2"/>
                <w:lang w:val="en-US" w:eastAsia="zh-CN"/>
              </w:rPr>
            </w:pPr>
            <w:r>
              <w:rPr>
                <w:rFonts w:hint="eastAsia" w:ascii="Times New Roman" w:hAnsi="Times New Roman" w:eastAsia="宋体" w:cs="Times New Roman"/>
                <w:sz w:val="21"/>
                <w:szCs w:val="22"/>
                <w:lang w:val="en-US" w:eastAsia="zh-CN" w:bidi="zh-CN"/>
              </w:rPr>
              <w:t>污水站废气排口</w:t>
            </w:r>
          </w:p>
        </w:tc>
        <w:tc>
          <w:tcPr>
            <w:tcW w:w="1484" w:type="dxa"/>
            <w:vAlign w:val="center"/>
          </w:tcPr>
          <w:p>
            <w:pPr>
              <w:bidi w:val="0"/>
              <w:jc w:val="center"/>
              <w:rPr>
                <w:rFonts w:hint="eastAsia"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氨</w:t>
            </w:r>
          </w:p>
        </w:tc>
        <w:tc>
          <w:tcPr>
            <w:tcW w:w="2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721G 型可见分光</w:t>
            </w:r>
          </w:p>
        </w:tc>
        <w:tc>
          <w:tcPr>
            <w:tcW w:w="1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721G</w:t>
            </w:r>
          </w:p>
        </w:tc>
        <w:tc>
          <w:tcPr>
            <w:tcW w:w="1311" w:type="dxa"/>
            <w:vMerge w:val="continue"/>
            <w:vAlign w:val="center"/>
          </w:tcPr>
          <w:p>
            <w:pPr>
              <w:pStyle w:val="15"/>
              <w:spacing w:before="85"/>
              <w:ind w:left="318" w:right="312"/>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85" w:type="dxa"/>
            <w:vMerge w:val="continue"/>
            <w:vAlign w:val="center"/>
          </w:tcPr>
          <w:p>
            <w:pPr>
              <w:jc w:val="center"/>
              <w:rPr>
                <w:rFonts w:ascii="Times New Roman" w:hAnsi="Times New Roman" w:cs="Times New Roman"/>
                <w:sz w:val="2"/>
                <w:szCs w:val="2"/>
              </w:rPr>
            </w:pPr>
          </w:p>
        </w:tc>
        <w:tc>
          <w:tcPr>
            <w:tcW w:w="1484" w:type="dxa"/>
            <w:vAlign w:val="center"/>
          </w:tcPr>
          <w:p>
            <w:pPr>
              <w:bidi w:val="0"/>
              <w:jc w:val="center"/>
              <w:rPr>
                <w:rFonts w:hint="eastAsia"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硫化氢</w:t>
            </w:r>
          </w:p>
        </w:tc>
        <w:tc>
          <w:tcPr>
            <w:tcW w:w="2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721G 型可见分光</w:t>
            </w:r>
          </w:p>
        </w:tc>
        <w:tc>
          <w:tcPr>
            <w:tcW w:w="1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721G</w:t>
            </w:r>
          </w:p>
        </w:tc>
        <w:tc>
          <w:tcPr>
            <w:tcW w:w="1311" w:type="dxa"/>
            <w:vMerge w:val="continue"/>
            <w:vAlign w:val="center"/>
          </w:tcPr>
          <w:p>
            <w:pPr>
              <w:pStyle w:val="15"/>
              <w:spacing w:before="85"/>
              <w:ind w:left="318" w:right="312"/>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85" w:type="dxa"/>
            <w:vMerge w:val="continue"/>
            <w:vAlign w:val="center"/>
          </w:tcPr>
          <w:p>
            <w:pPr>
              <w:jc w:val="center"/>
              <w:rPr>
                <w:rFonts w:ascii="Times New Roman" w:hAnsi="Times New Roman" w:cs="Times New Roman"/>
                <w:sz w:val="2"/>
                <w:szCs w:val="2"/>
              </w:rPr>
            </w:pPr>
          </w:p>
        </w:tc>
        <w:tc>
          <w:tcPr>
            <w:tcW w:w="1484" w:type="dxa"/>
            <w:vAlign w:val="center"/>
          </w:tcPr>
          <w:p>
            <w:pPr>
              <w:bidi w:val="0"/>
              <w:jc w:val="center"/>
              <w:rPr>
                <w:rFonts w:hint="eastAsia"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臭气浓度</w:t>
            </w:r>
          </w:p>
        </w:tc>
        <w:tc>
          <w:tcPr>
            <w:tcW w:w="2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判定师、嗅辨员</w:t>
            </w:r>
          </w:p>
        </w:tc>
        <w:tc>
          <w:tcPr>
            <w:tcW w:w="1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w:t>
            </w:r>
          </w:p>
        </w:tc>
        <w:tc>
          <w:tcPr>
            <w:tcW w:w="1311" w:type="dxa"/>
            <w:vMerge w:val="continue"/>
            <w:vAlign w:val="center"/>
          </w:tcPr>
          <w:p>
            <w:pPr>
              <w:pStyle w:val="15"/>
              <w:spacing w:before="85"/>
              <w:ind w:left="318" w:right="312"/>
              <w:rPr>
                <w:rFonts w:ascii="Times New Roman" w:hAnsi="Times New Roman" w:cs="Times New Roman"/>
                <w:sz w:val="21"/>
              </w:rPr>
            </w:pPr>
          </w:p>
        </w:tc>
      </w:tr>
    </w:tbl>
    <w:p>
      <w:pPr>
        <w:pStyle w:val="4"/>
        <w:spacing w:before="156"/>
        <w:rPr>
          <w:rFonts w:ascii="Times New Roman" w:hAnsi="Times New Roman" w:cs="Times New Roman"/>
        </w:rPr>
      </w:pPr>
      <w:r>
        <w:rPr>
          <w:rFonts w:ascii="Times New Roman" w:hAnsi="Times New Roman" w:cs="Times New Roman"/>
        </w:rPr>
        <w:t>（二）废气无组织排放监测方案</w:t>
      </w:r>
    </w:p>
    <w:p>
      <w:pPr>
        <w:pStyle w:val="2"/>
        <w:ind w:firstLine="480"/>
        <w:rPr>
          <w:rFonts w:ascii="Times New Roman" w:hAnsi="Times New Roman" w:cs="Times New Roman"/>
        </w:rPr>
      </w:pPr>
      <w:r>
        <w:rPr>
          <w:rFonts w:ascii="Times New Roman" w:hAnsi="Times New Roman" w:cs="Times New Roman"/>
        </w:rPr>
        <w:t>1、废气无组织监测项目及监测频次见表 5。公司废气无组织监测点位、监测项目及监测频次依据《排污许可证申请与核发技术规范 医疗机构》（HJ 1105-2020）表 5 要求。</w:t>
      </w:r>
    </w:p>
    <w:p>
      <w:pPr>
        <w:pStyle w:val="20"/>
        <w:rPr>
          <w:rFonts w:cs="Times New Roman"/>
        </w:rPr>
      </w:pPr>
      <w:r>
        <w:rPr>
          <w:rFonts w:cs="Times New Roman"/>
        </w:rPr>
        <w:t>表 5</w:t>
      </w:r>
      <w:r>
        <w:rPr>
          <w:rFonts w:cs="Times New Roman"/>
        </w:rPr>
        <w:tab/>
      </w:r>
      <w:r>
        <w:rPr>
          <w:rFonts w:cs="Times New Roman"/>
        </w:rPr>
        <w:t>废气无组织污染源监测内容一览表</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1067"/>
        <w:gridCol w:w="1818"/>
        <w:gridCol w:w="1156"/>
        <w:gridCol w:w="1093"/>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14" w:type="dxa"/>
            <w:vAlign w:val="center"/>
          </w:tcPr>
          <w:p>
            <w:pPr>
              <w:pStyle w:val="15"/>
              <w:spacing w:before="85"/>
              <w:ind w:right="210" w:rightChars="100"/>
              <w:rPr>
                <w:rFonts w:ascii="Times New Roman" w:hAnsi="Times New Roman" w:cs="Times New Roman"/>
                <w:b/>
                <w:sz w:val="21"/>
              </w:rPr>
            </w:pPr>
            <w:bookmarkStart w:id="2" w:name="_Hlk117172753"/>
            <w:r>
              <w:rPr>
                <w:rFonts w:ascii="Times New Roman" w:hAnsi="Times New Roman" w:cs="Times New Roman"/>
                <w:b/>
                <w:sz w:val="21"/>
              </w:rPr>
              <w:t>类型</w:t>
            </w:r>
          </w:p>
        </w:tc>
        <w:tc>
          <w:tcPr>
            <w:tcW w:w="1067" w:type="dxa"/>
            <w:vAlign w:val="center"/>
          </w:tcPr>
          <w:p>
            <w:pPr>
              <w:pStyle w:val="15"/>
              <w:spacing w:before="85"/>
              <w:ind w:right="210" w:rightChars="100"/>
              <w:rPr>
                <w:rFonts w:ascii="Times New Roman" w:hAnsi="Times New Roman" w:cs="Times New Roman"/>
                <w:b/>
                <w:sz w:val="21"/>
              </w:rPr>
            </w:pPr>
            <w:r>
              <w:rPr>
                <w:rFonts w:ascii="Times New Roman" w:hAnsi="Times New Roman" w:cs="Times New Roman"/>
                <w:b/>
                <w:sz w:val="21"/>
              </w:rPr>
              <w:t>监测点位</w:t>
            </w:r>
          </w:p>
        </w:tc>
        <w:tc>
          <w:tcPr>
            <w:tcW w:w="1818" w:type="dxa"/>
            <w:vAlign w:val="center"/>
          </w:tcPr>
          <w:p>
            <w:pPr>
              <w:pStyle w:val="15"/>
              <w:spacing w:before="85"/>
              <w:ind w:right="210" w:rightChars="100"/>
              <w:rPr>
                <w:rFonts w:ascii="Times New Roman" w:hAnsi="Times New Roman" w:cs="Times New Roman"/>
                <w:b/>
                <w:sz w:val="21"/>
              </w:rPr>
            </w:pPr>
            <w:r>
              <w:rPr>
                <w:rFonts w:ascii="Times New Roman" w:hAnsi="Times New Roman" w:cs="Times New Roman"/>
                <w:b/>
                <w:sz w:val="21"/>
              </w:rPr>
              <w:t>监测项目</w:t>
            </w:r>
          </w:p>
        </w:tc>
        <w:tc>
          <w:tcPr>
            <w:tcW w:w="1156" w:type="dxa"/>
            <w:vAlign w:val="center"/>
          </w:tcPr>
          <w:p>
            <w:pPr>
              <w:pStyle w:val="15"/>
              <w:spacing w:before="85"/>
              <w:ind w:right="210" w:rightChars="100"/>
              <w:rPr>
                <w:rFonts w:ascii="Times New Roman" w:hAnsi="Times New Roman" w:cs="Times New Roman"/>
                <w:b/>
                <w:sz w:val="21"/>
              </w:rPr>
            </w:pPr>
            <w:r>
              <w:rPr>
                <w:rFonts w:ascii="Times New Roman" w:hAnsi="Times New Roman" w:cs="Times New Roman"/>
                <w:b/>
                <w:sz w:val="21"/>
              </w:rPr>
              <w:t>监测点位</w:t>
            </w:r>
          </w:p>
        </w:tc>
        <w:tc>
          <w:tcPr>
            <w:tcW w:w="1093" w:type="dxa"/>
            <w:vAlign w:val="center"/>
          </w:tcPr>
          <w:p>
            <w:pPr>
              <w:pStyle w:val="15"/>
              <w:spacing w:before="85"/>
              <w:ind w:right="210" w:rightChars="100"/>
              <w:rPr>
                <w:rFonts w:ascii="Times New Roman" w:hAnsi="Times New Roman" w:cs="Times New Roman"/>
                <w:b/>
                <w:sz w:val="21"/>
              </w:rPr>
            </w:pPr>
            <w:r>
              <w:rPr>
                <w:rFonts w:ascii="Times New Roman" w:hAnsi="Times New Roman" w:cs="Times New Roman"/>
                <w:b/>
                <w:sz w:val="21"/>
              </w:rPr>
              <w:t>监测频次</w:t>
            </w:r>
          </w:p>
        </w:tc>
        <w:tc>
          <w:tcPr>
            <w:tcW w:w="1098" w:type="dxa"/>
            <w:vAlign w:val="center"/>
          </w:tcPr>
          <w:p>
            <w:pPr>
              <w:pStyle w:val="15"/>
              <w:spacing w:before="85"/>
              <w:ind w:right="210" w:rightChars="100"/>
              <w:rPr>
                <w:rFonts w:ascii="Times New Roman" w:hAnsi="Times New Roman" w:cs="Times New Roman"/>
                <w:b/>
                <w:sz w:val="21"/>
              </w:rPr>
            </w:pPr>
            <w:r>
              <w:rPr>
                <w:rFonts w:ascii="Times New Roman" w:hAnsi="Times New Roman" w:cs="Times New Roman"/>
                <w:b/>
                <w:sz w:val="21"/>
              </w:rPr>
              <w:t>监测方式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14" w:type="dxa"/>
            <w:vMerge w:val="restart"/>
            <w:vAlign w:val="center"/>
          </w:tcPr>
          <w:p>
            <w:pPr>
              <w:pStyle w:val="15"/>
              <w:spacing w:before="46"/>
              <w:ind w:right="210" w:rightChars="100"/>
              <w:rPr>
                <w:rFonts w:ascii="Times New Roman" w:hAnsi="Times New Roman" w:cs="Times New Roman"/>
                <w:sz w:val="21"/>
              </w:rPr>
            </w:pPr>
            <w:r>
              <w:rPr>
                <w:rFonts w:ascii="Times New Roman" w:hAnsi="Times New Roman" w:cs="Times New Roman"/>
                <w:sz w:val="21"/>
              </w:rPr>
              <w:t>废气无组织排放</w:t>
            </w:r>
          </w:p>
        </w:tc>
        <w:tc>
          <w:tcPr>
            <w:tcW w:w="1067" w:type="dxa"/>
            <w:vMerge w:val="restart"/>
            <w:vAlign w:val="center"/>
          </w:tcPr>
          <w:p>
            <w:pPr>
              <w:pStyle w:val="15"/>
              <w:spacing w:before="46"/>
              <w:ind w:right="210" w:rightChars="100"/>
              <w:rPr>
                <w:rFonts w:ascii="Times New Roman" w:hAnsi="Times New Roman" w:cs="Times New Roman"/>
                <w:sz w:val="21"/>
              </w:rPr>
            </w:pPr>
            <w:r>
              <w:rPr>
                <w:rFonts w:ascii="Times New Roman" w:hAnsi="Times New Roman" w:cs="Times New Roman"/>
                <w:sz w:val="21"/>
              </w:rPr>
              <w:t>污水处理站周界</w:t>
            </w:r>
          </w:p>
        </w:tc>
        <w:tc>
          <w:tcPr>
            <w:tcW w:w="1818" w:type="dxa"/>
            <w:vAlign w:val="center"/>
          </w:tcPr>
          <w:p>
            <w:pPr>
              <w:pStyle w:val="15"/>
              <w:spacing w:before="46"/>
              <w:ind w:right="210" w:rightChars="100"/>
              <w:rPr>
                <w:rFonts w:ascii="Times New Roman" w:hAnsi="Times New Roman" w:cs="Times New Roman"/>
                <w:sz w:val="21"/>
              </w:rPr>
            </w:pPr>
            <w:r>
              <w:rPr>
                <w:rFonts w:ascii="Times New Roman" w:hAnsi="Times New Roman" w:cs="Times New Roman"/>
                <w:spacing w:val="-14"/>
                <w:sz w:val="21"/>
              </w:rPr>
              <w:t>氨</w:t>
            </w:r>
          </w:p>
        </w:tc>
        <w:tc>
          <w:tcPr>
            <w:tcW w:w="1156" w:type="dxa"/>
            <w:vMerge w:val="restart"/>
            <w:vAlign w:val="center"/>
          </w:tcPr>
          <w:p>
            <w:pPr>
              <w:pStyle w:val="15"/>
              <w:spacing w:before="46"/>
              <w:ind w:right="210" w:rightChars="100"/>
              <w:rPr>
                <w:rFonts w:ascii="Times New Roman" w:hAnsi="Times New Roman" w:cs="Times New Roman"/>
                <w:sz w:val="21"/>
              </w:rPr>
            </w:pPr>
            <w:r>
              <w:rPr>
                <w:rFonts w:ascii="Times New Roman" w:hAnsi="Times New Roman" w:cs="Times New Roman"/>
                <w:sz w:val="21"/>
              </w:rPr>
              <w:t>污水处理站周界</w:t>
            </w:r>
          </w:p>
        </w:tc>
        <w:tc>
          <w:tcPr>
            <w:tcW w:w="1093" w:type="dxa"/>
            <w:vMerge w:val="restart"/>
            <w:vAlign w:val="center"/>
          </w:tcPr>
          <w:p>
            <w:pPr>
              <w:pStyle w:val="15"/>
              <w:ind w:right="210" w:rightChars="100"/>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098" w:type="dxa"/>
            <w:vMerge w:val="restart"/>
            <w:vAlign w:val="center"/>
          </w:tcPr>
          <w:p>
            <w:pPr>
              <w:pStyle w:val="15"/>
              <w:ind w:right="210" w:rightChars="100"/>
              <w:rPr>
                <w:rFonts w:ascii="Times New Roman" w:hAnsi="Times New Roman" w:cs="Times New Roman"/>
                <w:sz w:val="21"/>
              </w:rPr>
            </w:pPr>
            <w:r>
              <w:rPr>
                <w:rFonts w:ascii="Times New Roman" w:hAnsi="Times New Roman" w:cs="Times New Roman"/>
                <w:sz w:val="21"/>
              </w:rPr>
              <w:t>手工监测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14" w:type="dxa"/>
            <w:vMerge w:val="continue"/>
            <w:vAlign w:val="center"/>
          </w:tcPr>
          <w:p>
            <w:pPr>
              <w:pStyle w:val="15"/>
              <w:spacing w:before="46"/>
              <w:ind w:right="210" w:rightChars="100"/>
              <w:rPr>
                <w:rFonts w:ascii="Times New Roman" w:hAnsi="Times New Roman" w:cs="Times New Roman"/>
                <w:sz w:val="21"/>
              </w:rPr>
            </w:pPr>
          </w:p>
        </w:tc>
        <w:tc>
          <w:tcPr>
            <w:tcW w:w="1067" w:type="dxa"/>
            <w:vMerge w:val="continue"/>
            <w:vAlign w:val="center"/>
          </w:tcPr>
          <w:p>
            <w:pPr>
              <w:pStyle w:val="15"/>
              <w:spacing w:before="46"/>
              <w:ind w:right="210" w:rightChars="100"/>
              <w:rPr>
                <w:rFonts w:ascii="Times New Roman" w:hAnsi="Times New Roman" w:cs="Times New Roman"/>
                <w:sz w:val="21"/>
              </w:rPr>
            </w:pPr>
          </w:p>
        </w:tc>
        <w:tc>
          <w:tcPr>
            <w:tcW w:w="1818" w:type="dxa"/>
            <w:vAlign w:val="center"/>
          </w:tcPr>
          <w:p>
            <w:pPr>
              <w:pStyle w:val="15"/>
              <w:spacing w:before="46"/>
              <w:ind w:right="210" w:rightChars="100"/>
              <w:rPr>
                <w:rFonts w:ascii="Times New Roman" w:hAnsi="Times New Roman" w:cs="Times New Roman"/>
                <w:spacing w:val="-14"/>
                <w:sz w:val="21"/>
              </w:rPr>
            </w:pPr>
            <w:r>
              <w:rPr>
                <w:rFonts w:ascii="Times New Roman" w:hAnsi="Times New Roman" w:cs="Times New Roman"/>
                <w:spacing w:val="-14"/>
                <w:sz w:val="21"/>
              </w:rPr>
              <w:t>硫化氢</w:t>
            </w:r>
          </w:p>
        </w:tc>
        <w:tc>
          <w:tcPr>
            <w:tcW w:w="1156" w:type="dxa"/>
            <w:vMerge w:val="continue"/>
            <w:vAlign w:val="center"/>
          </w:tcPr>
          <w:p>
            <w:pPr>
              <w:pStyle w:val="15"/>
              <w:spacing w:before="46"/>
              <w:ind w:right="210" w:rightChars="100"/>
              <w:rPr>
                <w:rFonts w:ascii="Times New Roman" w:hAnsi="Times New Roman" w:cs="Times New Roman"/>
                <w:sz w:val="21"/>
              </w:rPr>
            </w:pPr>
          </w:p>
        </w:tc>
        <w:tc>
          <w:tcPr>
            <w:tcW w:w="1093" w:type="dxa"/>
            <w:vMerge w:val="continue"/>
            <w:vAlign w:val="center"/>
          </w:tcPr>
          <w:p>
            <w:pPr>
              <w:pStyle w:val="15"/>
              <w:spacing w:before="2"/>
              <w:ind w:right="210" w:rightChars="100"/>
              <w:rPr>
                <w:rFonts w:ascii="Times New Roman" w:hAnsi="Times New Roman" w:cs="Times New Roman"/>
                <w:b/>
                <w:sz w:val="16"/>
              </w:rPr>
            </w:pPr>
          </w:p>
        </w:tc>
        <w:tc>
          <w:tcPr>
            <w:tcW w:w="1098" w:type="dxa"/>
            <w:vMerge w:val="continue"/>
            <w:vAlign w:val="center"/>
          </w:tcPr>
          <w:p>
            <w:pPr>
              <w:pStyle w:val="15"/>
              <w:spacing w:before="2"/>
              <w:ind w:right="210" w:rightChars="100"/>
              <w:rPr>
                <w:rFonts w:ascii="Times New Roman" w:hAnsi="Times New Roman" w:cs="Times New Roman"/>
                <w:b/>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14" w:type="dxa"/>
            <w:vMerge w:val="continue"/>
            <w:vAlign w:val="center"/>
          </w:tcPr>
          <w:p>
            <w:pPr>
              <w:pStyle w:val="15"/>
              <w:spacing w:before="46"/>
              <w:ind w:right="210" w:rightChars="100"/>
              <w:rPr>
                <w:rFonts w:ascii="Times New Roman" w:hAnsi="Times New Roman" w:cs="Times New Roman"/>
                <w:sz w:val="21"/>
              </w:rPr>
            </w:pPr>
          </w:p>
        </w:tc>
        <w:tc>
          <w:tcPr>
            <w:tcW w:w="1067" w:type="dxa"/>
            <w:vMerge w:val="continue"/>
            <w:vAlign w:val="center"/>
          </w:tcPr>
          <w:p>
            <w:pPr>
              <w:pStyle w:val="15"/>
              <w:spacing w:before="46"/>
              <w:ind w:right="210" w:rightChars="100"/>
              <w:rPr>
                <w:rFonts w:ascii="Times New Roman" w:hAnsi="Times New Roman" w:cs="Times New Roman"/>
                <w:sz w:val="21"/>
              </w:rPr>
            </w:pPr>
          </w:p>
        </w:tc>
        <w:tc>
          <w:tcPr>
            <w:tcW w:w="1818" w:type="dxa"/>
            <w:vAlign w:val="center"/>
          </w:tcPr>
          <w:p>
            <w:pPr>
              <w:pStyle w:val="15"/>
              <w:spacing w:before="46"/>
              <w:ind w:right="210" w:rightChars="100"/>
              <w:rPr>
                <w:rFonts w:ascii="Times New Roman" w:hAnsi="Times New Roman" w:cs="Times New Roman"/>
                <w:spacing w:val="-14"/>
                <w:sz w:val="21"/>
              </w:rPr>
            </w:pPr>
            <w:r>
              <w:rPr>
                <w:rFonts w:ascii="Times New Roman" w:hAnsi="Times New Roman" w:cs="Times New Roman"/>
                <w:spacing w:val="-14"/>
                <w:sz w:val="21"/>
              </w:rPr>
              <w:t>臭气浓度</w:t>
            </w:r>
          </w:p>
        </w:tc>
        <w:tc>
          <w:tcPr>
            <w:tcW w:w="1156" w:type="dxa"/>
            <w:vMerge w:val="continue"/>
            <w:vAlign w:val="center"/>
          </w:tcPr>
          <w:p>
            <w:pPr>
              <w:pStyle w:val="15"/>
              <w:spacing w:before="46"/>
              <w:ind w:right="210" w:rightChars="100"/>
              <w:rPr>
                <w:rFonts w:ascii="Times New Roman" w:hAnsi="Times New Roman" w:cs="Times New Roman"/>
                <w:sz w:val="21"/>
              </w:rPr>
            </w:pPr>
          </w:p>
        </w:tc>
        <w:tc>
          <w:tcPr>
            <w:tcW w:w="1093" w:type="dxa"/>
            <w:vMerge w:val="continue"/>
            <w:vAlign w:val="center"/>
          </w:tcPr>
          <w:p>
            <w:pPr>
              <w:pStyle w:val="15"/>
              <w:spacing w:before="2"/>
              <w:ind w:right="210" w:rightChars="100"/>
              <w:rPr>
                <w:rFonts w:ascii="Times New Roman" w:hAnsi="Times New Roman" w:cs="Times New Roman"/>
                <w:b/>
                <w:sz w:val="16"/>
              </w:rPr>
            </w:pPr>
          </w:p>
        </w:tc>
        <w:tc>
          <w:tcPr>
            <w:tcW w:w="1098" w:type="dxa"/>
            <w:vMerge w:val="continue"/>
            <w:vAlign w:val="center"/>
          </w:tcPr>
          <w:p>
            <w:pPr>
              <w:pStyle w:val="15"/>
              <w:spacing w:before="2"/>
              <w:ind w:right="210" w:rightChars="100"/>
              <w:rPr>
                <w:rFonts w:ascii="Times New Roman" w:hAnsi="Times New Roman" w:cs="Times New Roman"/>
                <w:b/>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14" w:type="dxa"/>
            <w:vMerge w:val="continue"/>
            <w:vAlign w:val="center"/>
          </w:tcPr>
          <w:p>
            <w:pPr>
              <w:pStyle w:val="15"/>
              <w:spacing w:before="46"/>
              <w:ind w:right="210" w:rightChars="100"/>
              <w:rPr>
                <w:rFonts w:ascii="Times New Roman" w:hAnsi="Times New Roman" w:cs="Times New Roman"/>
                <w:sz w:val="21"/>
              </w:rPr>
            </w:pPr>
          </w:p>
        </w:tc>
        <w:tc>
          <w:tcPr>
            <w:tcW w:w="1067" w:type="dxa"/>
            <w:vMerge w:val="continue"/>
            <w:vAlign w:val="center"/>
          </w:tcPr>
          <w:p>
            <w:pPr>
              <w:pStyle w:val="15"/>
              <w:spacing w:before="46"/>
              <w:ind w:right="210" w:rightChars="100"/>
              <w:rPr>
                <w:rFonts w:ascii="Times New Roman" w:hAnsi="Times New Roman" w:cs="Times New Roman"/>
                <w:sz w:val="21"/>
              </w:rPr>
            </w:pPr>
          </w:p>
        </w:tc>
        <w:tc>
          <w:tcPr>
            <w:tcW w:w="1818" w:type="dxa"/>
            <w:vAlign w:val="center"/>
          </w:tcPr>
          <w:p>
            <w:pPr>
              <w:pStyle w:val="15"/>
              <w:spacing w:before="46"/>
              <w:ind w:right="210" w:rightChars="100"/>
              <w:rPr>
                <w:rFonts w:ascii="Times New Roman" w:hAnsi="Times New Roman" w:cs="Times New Roman"/>
                <w:spacing w:val="-14"/>
                <w:sz w:val="21"/>
              </w:rPr>
            </w:pPr>
            <w:r>
              <w:rPr>
                <w:rFonts w:ascii="Times New Roman" w:hAnsi="Times New Roman" w:cs="Times New Roman"/>
                <w:spacing w:val="-14"/>
                <w:sz w:val="21"/>
              </w:rPr>
              <w:t>氯气</w:t>
            </w:r>
          </w:p>
        </w:tc>
        <w:tc>
          <w:tcPr>
            <w:tcW w:w="1156" w:type="dxa"/>
            <w:vMerge w:val="continue"/>
            <w:vAlign w:val="center"/>
          </w:tcPr>
          <w:p>
            <w:pPr>
              <w:pStyle w:val="15"/>
              <w:spacing w:before="46"/>
              <w:ind w:right="210" w:rightChars="100"/>
              <w:rPr>
                <w:rFonts w:ascii="Times New Roman" w:hAnsi="Times New Roman" w:cs="Times New Roman"/>
                <w:sz w:val="21"/>
              </w:rPr>
            </w:pPr>
          </w:p>
        </w:tc>
        <w:tc>
          <w:tcPr>
            <w:tcW w:w="1093" w:type="dxa"/>
            <w:vMerge w:val="continue"/>
            <w:vAlign w:val="center"/>
          </w:tcPr>
          <w:p>
            <w:pPr>
              <w:pStyle w:val="15"/>
              <w:spacing w:before="2"/>
              <w:ind w:right="210" w:rightChars="100"/>
              <w:rPr>
                <w:rFonts w:ascii="Times New Roman" w:hAnsi="Times New Roman" w:cs="Times New Roman"/>
                <w:b/>
                <w:sz w:val="16"/>
              </w:rPr>
            </w:pPr>
          </w:p>
        </w:tc>
        <w:tc>
          <w:tcPr>
            <w:tcW w:w="1098" w:type="dxa"/>
            <w:vMerge w:val="continue"/>
            <w:vAlign w:val="center"/>
          </w:tcPr>
          <w:p>
            <w:pPr>
              <w:pStyle w:val="15"/>
              <w:spacing w:before="2"/>
              <w:ind w:right="210" w:rightChars="100"/>
              <w:rPr>
                <w:rFonts w:ascii="Times New Roman" w:hAnsi="Times New Roman" w:cs="Times New Roman"/>
                <w:b/>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14" w:type="dxa"/>
            <w:vMerge w:val="continue"/>
            <w:vAlign w:val="center"/>
          </w:tcPr>
          <w:p>
            <w:pPr>
              <w:pStyle w:val="15"/>
              <w:spacing w:before="46"/>
              <w:ind w:right="210" w:rightChars="100"/>
              <w:rPr>
                <w:rFonts w:ascii="Times New Roman" w:hAnsi="Times New Roman" w:cs="Times New Roman"/>
                <w:sz w:val="21"/>
              </w:rPr>
            </w:pPr>
          </w:p>
        </w:tc>
        <w:tc>
          <w:tcPr>
            <w:tcW w:w="1067" w:type="dxa"/>
            <w:vMerge w:val="continue"/>
            <w:vAlign w:val="center"/>
          </w:tcPr>
          <w:p>
            <w:pPr>
              <w:pStyle w:val="15"/>
              <w:spacing w:before="46"/>
              <w:ind w:right="210" w:rightChars="100"/>
              <w:rPr>
                <w:rFonts w:ascii="Times New Roman" w:hAnsi="Times New Roman" w:cs="Times New Roman"/>
                <w:sz w:val="21"/>
              </w:rPr>
            </w:pPr>
          </w:p>
        </w:tc>
        <w:tc>
          <w:tcPr>
            <w:tcW w:w="1818" w:type="dxa"/>
            <w:vAlign w:val="center"/>
          </w:tcPr>
          <w:p>
            <w:pPr>
              <w:pStyle w:val="15"/>
              <w:spacing w:before="46"/>
              <w:ind w:right="210" w:rightChars="100"/>
              <w:rPr>
                <w:rFonts w:ascii="Times New Roman" w:hAnsi="Times New Roman" w:cs="Times New Roman"/>
                <w:spacing w:val="-14"/>
                <w:sz w:val="21"/>
              </w:rPr>
            </w:pPr>
            <w:r>
              <w:rPr>
                <w:rFonts w:ascii="Times New Roman" w:hAnsi="Times New Roman" w:cs="Times New Roman"/>
                <w:spacing w:val="-14"/>
                <w:sz w:val="21"/>
              </w:rPr>
              <w:t>甲烷</w:t>
            </w:r>
          </w:p>
        </w:tc>
        <w:tc>
          <w:tcPr>
            <w:tcW w:w="1156" w:type="dxa"/>
            <w:vMerge w:val="continue"/>
            <w:vAlign w:val="center"/>
          </w:tcPr>
          <w:p>
            <w:pPr>
              <w:pStyle w:val="15"/>
              <w:spacing w:before="46"/>
              <w:ind w:right="210" w:rightChars="100"/>
              <w:rPr>
                <w:rFonts w:ascii="Times New Roman" w:hAnsi="Times New Roman" w:cs="Times New Roman"/>
                <w:sz w:val="21"/>
              </w:rPr>
            </w:pPr>
          </w:p>
        </w:tc>
        <w:tc>
          <w:tcPr>
            <w:tcW w:w="1093" w:type="dxa"/>
            <w:vMerge w:val="continue"/>
            <w:vAlign w:val="center"/>
          </w:tcPr>
          <w:p>
            <w:pPr>
              <w:pStyle w:val="15"/>
              <w:spacing w:before="2"/>
              <w:ind w:right="210" w:rightChars="100"/>
              <w:rPr>
                <w:rFonts w:ascii="Times New Roman" w:hAnsi="Times New Roman" w:cs="Times New Roman"/>
                <w:b/>
                <w:sz w:val="16"/>
              </w:rPr>
            </w:pPr>
          </w:p>
        </w:tc>
        <w:tc>
          <w:tcPr>
            <w:tcW w:w="1098" w:type="dxa"/>
            <w:vMerge w:val="continue"/>
            <w:vAlign w:val="center"/>
          </w:tcPr>
          <w:p>
            <w:pPr>
              <w:pStyle w:val="15"/>
              <w:spacing w:before="2"/>
              <w:ind w:right="210" w:rightChars="100"/>
              <w:rPr>
                <w:rFonts w:ascii="Times New Roman" w:hAnsi="Times New Roman" w:cs="Times New Roman"/>
                <w:b/>
                <w:sz w:val="16"/>
              </w:rPr>
            </w:pPr>
          </w:p>
        </w:tc>
      </w:tr>
      <w:bookmarkEnd w:id="2"/>
    </w:tbl>
    <w:p>
      <w:pPr>
        <w:spacing w:before="99"/>
        <w:ind w:left="220"/>
        <w:rPr>
          <w:rFonts w:ascii="Times New Roman" w:hAnsi="Times New Roman" w:cs="Times New Roman"/>
          <w:sz w:val="21"/>
        </w:rPr>
      </w:pPr>
      <w:r>
        <w:rPr>
          <w:rFonts w:ascii="Times New Roman" w:hAnsi="Times New Roman" w:cs="Times New Roman"/>
          <w:sz w:val="21"/>
        </w:rPr>
        <w:t>注：监测同步监测风向、风速、气压、气温、湿度等气象参数。</w:t>
      </w:r>
    </w:p>
    <w:p>
      <w:pPr>
        <w:pStyle w:val="2"/>
        <w:ind w:firstLine="480"/>
        <w:rPr>
          <w:rFonts w:ascii="Times New Roman" w:hAnsi="Times New Roman" w:cs="Times New Roman"/>
        </w:rPr>
      </w:pPr>
      <w:r>
        <w:rPr>
          <w:rFonts w:ascii="Times New Roman" w:hAnsi="Times New Roman" w:cs="Times New Roman"/>
        </w:rPr>
        <w:t>2、废气无组织排放监测方法及依据情况见表 6。</w:t>
      </w:r>
    </w:p>
    <w:p>
      <w:pPr>
        <w:pStyle w:val="2"/>
        <w:ind w:firstLine="480"/>
        <w:rPr>
          <w:rFonts w:ascii="Times New Roman" w:hAnsi="Times New Roman" w:cs="Times New Roman"/>
        </w:rPr>
      </w:pPr>
      <w:r>
        <w:rPr>
          <w:rFonts w:ascii="Times New Roman" w:hAnsi="Times New Roman" w:cs="Times New Roman"/>
        </w:rPr>
        <w:t>无组织排放监测点位布设按照《大气污染物综合排放标准》(GB 16297-1996) 附录 C、《大气污染物无组织排放监测技术导则》（HJ/T 55-2000），监测项目具体监测分析方法见表 6。</w:t>
      </w:r>
    </w:p>
    <w:p>
      <w:pPr>
        <w:pStyle w:val="20"/>
        <w:rPr>
          <w:rFonts w:cs="Times New Roman"/>
        </w:rPr>
      </w:pPr>
      <w:r>
        <w:rPr>
          <w:rFonts w:cs="Times New Roman"/>
        </w:rPr>
        <w:t>表 6  废气无组织排放监测方法、依据及仪器一览表</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931"/>
        <w:gridCol w:w="5504"/>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4" w:type="dxa"/>
            <w:vAlign w:val="center"/>
          </w:tcPr>
          <w:p>
            <w:pPr>
              <w:pStyle w:val="15"/>
              <w:spacing w:before="46"/>
              <w:rPr>
                <w:rFonts w:ascii="Times New Roman" w:hAnsi="Times New Roman" w:cs="Times New Roman"/>
                <w:b/>
                <w:sz w:val="21"/>
              </w:rPr>
            </w:pPr>
            <w:r>
              <w:rPr>
                <w:rFonts w:ascii="Times New Roman" w:hAnsi="Times New Roman" w:cs="Times New Roman"/>
                <w:b/>
                <w:sz w:val="21"/>
              </w:rPr>
              <w:t>监测点位</w:t>
            </w:r>
          </w:p>
        </w:tc>
        <w:tc>
          <w:tcPr>
            <w:tcW w:w="931" w:type="dxa"/>
            <w:vAlign w:val="center"/>
          </w:tcPr>
          <w:p>
            <w:pPr>
              <w:pStyle w:val="15"/>
              <w:spacing w:before="46"/>
              <w:rPr>
                <w:rFonts w:ascii="Times New Roman" w:hAnsi="Times New Roman" w:cs="Times New Roman"/>
                <w:b/>
                <w:sz w:val="21"/>
              </w:rPr>
            </w:pPr>
            <w:r>
              <w:rPr>
                <w:rFonts w:ascii="Times New Roman" w:hAnsi="Times New Roman" w:cs="Times New Roman"/>
                <w:b/>
                <w:sz w:val="21"/>
              </w:rPr>
              <w:t>监测项目</w:t>
            </w:r>
          </w:p>
        </w:tc>
        <w:tc>
          <w:tcPr>
            <w:tcW w:w="5504" w:type="dxa"/>
            <w:vAlign w:val="center"/>
          </w:tcPr>
          <w:p>
            <w:pPr>
              <w:pStyle w:val="15"/>
              <w:rPr>
                <w:rFonts w:ascii="Times New Roman" w:hAnsi="Times New Roman" w:cs="Times New Roman"/>
                <w:b/>
                <w:sz w:val="21"/>
              </w:rPr>
            </w:pPr>
            <w:r>
              <w:rPr>
                <w:rFonts w:ascii="Times New Roman" w:hAnsi="Times New Roman" w:cs="Times New Roman"/>
                <w:b/>
                <w:sz w:val="21"/>
              </w:rPr>
              <w:t>监测方法及依据</w:t>
            </w:r>
          </w:p>
        </w:tc>
        <w:tc>
          <w:tcPr>
            <w:tcW w:w="1352" w:type="dxa"/>
            <w:vAlign w:val="center"/>
          </w:tcPr>
          <w:p>
            <w:pPr>
              <w:pStyle w:val="15"/>
              <w:rPr>
                <w:rFonts w:ascii="Times New Roman" w:hAnsi="Times New Roman" w:cs="Times New Roman"/>
                <w:b/>
                <w:sz w:val="21"/>
              </w:rPr>
            </w:pPr>
            <w:r>
              <w:rPr>
                <w:rFonts w:ascii="Times New Roman" w:hAnsi="Times New Roman"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4" w:type="dxa"/>
            <w:vMerge w:val="restart"/>
            <w:vAlign w:val="center"/>
          </w:tcPr>
          <w:p>
            <w:pPr>
              <w:pStyle w:val="15"/>
              <w:spacing w:before="137"/>
              <w:rPr>
                <w:rFonts w:ascii="Times New Roman" w:hAnsi="Times New Roman" w:cs="Times New Roman"/>
                <w:sz w:val="21"/>
              </w:rPr>
            </w:pPr>
            <w:r>
              <w:rPr>
                <w:rFonts w:ascii="Times New Roman" w:hAnsi="Times New Roman" w:cs="Times New Roman"/>
                <w:sz w:val="21"/>
              </w:rPr>
              <w:t>污水处理站周界</w:t>
            </w:r>
          </w:p>
        </w:tc>
        <w:tc>
          <w:tcPr>
            <w:tcW w:w="931" w:type="dxa"/>
            <w:vAlign w:val="center"/>
          </w:tcPr>
          <w:p>
            <w:pPr>
              <w:pStyle w:val="15"/>
              <w:rPr>
                <w:rFonts w:ascii="Times New Roman" w:hAnsi="Times New Roman" w:cs="Times New Roman"/>
                <w:sz w:val="21"/>
              </w:rPr>
            </w:pPr>
            <w:r>
              <w:rPr>
                <w:rFonts w:ascii="Times New Roman" w:hAnsi="Times New Roman" w:cs="Times New Roman"/>
                <w:sz w:val="21"/>
              </w:rPr>
              <w:t>氨</w:t>
            </w:r>
          </w:p>
        </w:tc>
        <w:tc>
          <w:tcPr>
            <w:tcW w:w="5504" w:type="dxa"/>
            <w:vAlign w:val="center"/>
          </w:tcPr>
          <w:p>
            <w:pPr>
              <w:pStyle w:val="15"/>
              <w:spacing w:before="15"/>
              <w:rPr>
                <w:rFonts w:ascii="Times New Roman" w:hAnsi="Times New Roman" w:eastAsia="Times New Roman" w:cs="Times New Roman"/>
                <w:sz w:val="21"/>
              </w:rPr>
            </w:pPr>
            <w:r>
              <w:rPr>
                <w:rFonts w:ascii="Times New Roman" w:hAnsi="Times New Roman" w:cs="Times New Roman"/>
                <w:sz w:val="21"/>
              </w:rPr>
              <w:t>环境空气和废气氨的测定纳氏试剂分光光度法</w:t>
            </w:r>
            <w:r>
              <w:rPr>
                <w:rFonts w:ascii="Times New Roman" w:hAnsi="Times New Roman" w:eastAsia="Times New Roman" w:cs="Times New Roman"/>
                <w:sz w:val="21"/>
              </w:rPr>
              <w:t>HJ 533-2009</w:t>
            </w:r>
          </w:p>
        </w:tc>
        <w:tc>
          <w:tcPr>
            <w:tcW w:w="1352" w:type="dxa"/>
            <w:vAlign w:val="center"/>
          </w:tcPr>
          <w:p>
            <w:pPr>
              <w:pStyle w:val="15"/>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4" w:type="dxa"/>
            <w:vMerge w:val="continue"/>
            <w:tcBorders>
              <w:top w:val="nil"/>
            </w:tcBorders>
            <w:vAlign w:val="center"/>
          </w:tcPr>
          <w:p>
            <w:pPr>
              <w:jc w:val="center"/>
              <w:rPr>
                <w:rFonts w:ascii="Times New Roman" w:hAnsi="Times New Roman" w:cs="Times New Roman"/>
                <w:sz w:val="2"/>
                <w:szCs w:val="2"/>
              </w:rPr>
            </w:pPr>
          </w:p>
        </w:tc>
        <w:tc>
          <w:tcPr>
            <w:tcW w:w="931" w:type="dxa"/>
            <w:vAlign w:val="center"/>
          </w:tcPr>
          <w:p>
            <w:pPr>
              <w:pStyle w:val="15"/>
              <w:rPr>
                <w:rFonts w:ascii="Times New Roman" w:hAnsi="Times New Roman" w:cs="Times New Roman"/>
                <w:sz w:val="21"/>
              </w:rPr>
            </w:pPr>
            <w:r>
              <w:rPr>
                <w:rFonts w:ascii="Times New Roman" w:hAnsi="Times New Roman" w:cs="Times New Roman"/>
                <w:sz w:val="21"/>
              </w:rPr>
              <w:t>硫化氢</w:t>
            </w:r>
          </w:p>
        </w:tc>
        <w:tc>
          <w:tcPr>
            <w:tcW w:w="5504" w:type="dxa"/>
            <w:vAlign w:val="center"/>
          </w:tcPr>
          <w:p>
            <w:pPr>
              <w:pStyle w:val="15"/>
              <w:rPr>
                <w:rFonts w:ascii="Times New Roman" w:hAnsi="Times New Roman" w:eastAsia="Times New Roman" w:cs="Times New Roman"/>
                <w:sz w:val="21"/>
              </w:rPr>
            </w:pPr>
            <w:r>
              <w:rPr>
                <w:rFonts w:ascii="Times New Roman" w:hAnsi="Times New Roman" w:cs="Times New Roman"/>
                <w:sz w:val="21"/>
              </w:rPr>
              <w:t xml:space="preserve">亚甲基蓝分光光度法《空气和废气监测分析方法》（第四版）国家环保总局 </w:t>
            </w:r>
            <w:r>
              <w:rPr>
                <w:rFonts w:ascii="Times New Roman" w:hAnsi="Times New Roman" w:eastAsia="Times New Roman" w:cs="Times New Roman"/>
                <w:sz w:val="21"/>
              </w:rPr>
              <w:t xml:space="preserve">2003 </w:t>
            </w:r>
            <w:r>
              <w:rPr>
                <w:rFonts w:ascii="Times New Roman" w:hAnsi="Times New Roman" w:cs="Times New Roman"/>
                <w:sz w:val="21"/>
              </w:rPr>
              <w:t xml:space="preserve">年 </w:t>
            </w:r>
            <w:r>
              <w:rPr>
                <w:rFonts w:ascii="Times New Roman" w:hAnsi="Times New Roman" w:eastAsia="Times New Roman" w:cs="Times New Roman"/>
                <w:sz w:val="21"/>
              </w:rPr>
              <w:t>3.1.11.2</w:t>
            </w:r>
          </w:p>
        </w:tc>
        <w:tc>
          <w:tcPr>
            <w:tcW w:w="1352" w:type="dxa"/>
            <w:vAlign w:val="center"/>
          </w:tcPr>
          <w:p>
            <w:pPr>
              <w:jc w:val="center"/>
              <w:rPr>
                <w:rFonts w:ascii="Times New Roman" w:hAnsi="Times New Roman" w:cs="Times New Roman"/>
                <w:sz w:val="21"/>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4" w:type="dxa"/>
            <w:vMerge w:val="continue"/>
            <w:tcBorders>
              <w:top w:val="nil"/>
            </w:tcBorders>
            <w:vAlign w:val="center"/>
          </w:tcPr>
          <w:p>
            <w:pPr>
              <w:jc w:val="center"/>
              <w:rPr>
                <w:rFonts w:ascii="Times New Roman" w:hAnsi="Times New Roman" w:cs="Times New Roman"/>
                <w:sz w:val="2"/>
                <w:szCs w:val="2"/>
              </w:rPr>
            </w:pPr>
          </w:p>
        </w:tc>
        <w:tc>
          <w:tcPr>
            <w:tcW w:w="931" w:type="dxa"/>
            <w:vAlign w:val="center"/>
          </w:tcPr>
          <w:p>
            <w:pPr>
              <w:pStyle w:val="15"/>
              <w:rPr>
                <w:rFonts w:ascii="Times New Roman" w:hAnsi="Times New Roman" w:cs="Times New Roman"/>
                <w:sz w:val="21"/>
              </w:rPr>
            </w:pPr>
            <w:r>
              <w:rPr>
                <w:rFonts w:ascii="Times New Roman" w:hAnsi="Times New Roman" w:cs="Times New Roman"/>
                <w:sz w:val="21"/>
              </w:rPr>
              <w:t>臭气浓度</w:t>
            </w:r>
          </w:p>
        </w:tc>
        <w:tc>
          <w:tcPr>
            <w:tcW w:w="5504" w:type="dxa"/>
            <w:vAlign w:val="center"/>
          </w:tcPr>
          <w:p>
            <w:pPr>
              <w:pStyle w:val="15"/>
              <w:rPr>
                <w:rFonts w:ascii="Times New Roman" w:hAnsi="Times New Roman" w:eastAsia="Times New Roman" w:cs="Times New Roman"/>
                <w:sz w:val="21"/>
              </w:rPr>
            </w:pPr>
            <w:r>
              <w:rPr>
                <w:rFonts w:ascii="Times New Roman" w:hAnsi="Times New Roman" w:cs="Times New Roman"/>
                <w:sz w:val="21"/>
              </w:rPr>
              <w:t>空气质量恶臭的测定三点比较式臭袋法</w:t>
            </w:r>
            <w:r>
              <w:rPr>
                <w:rFonts w:ascii="Times New Roman" w:hAnsi="Times New Roman" w:eastAsia="Times New Roman" w:cs="Times New Roman"/>
                <w:sz w:val="21"/>
              </w:rPr>
              <w:t>GB/T 14675-1993</w:t>
            </w:r>
          </w:p>
        </w:tc>
        <w:tc>
          <w:tcPr>
            <w:tcW w:w="1352" w:type="dxa"/>
            <w:vAlign w:val="center"/>
          </w:tcPr>
          <w:p>
            <w:pPr>
              <w:jc w:val="center"/>
              <w:rPr>
                <w:rFonts w:ascii="Times New Roman" w:hAnsi="Times New Roman" w:cs="Times New Roman"/>
                <w:sz w:val="21"/>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74" w:type="dxa"/>
            <w:vMerge w:val="continue"/>
            <w:tcBorders>
              <w:top w:val="nil"/>
            </w:tcBorders>
            <w:vAlign w:val="center"/>
          </w:tcPr>
          <w:p>
            <w:pPr>
              <w:jc w:val="center"/>
              <w:rPr>
                <w:rFonts w:ascii="Times New Roman" w:hAnsi="Times New Roman" w:cs="Times New Roman"/>
                <w:sz w:val="2"/>
                <w:szCs w:val="2"/>
              </w:rPr>
            </w:pPr>
          </w:p>
        </w:tc>
        <w:tc>
          <w:tcPr>
            <w:tcW w:w="931" w:type="dxa"/>
            <w:vAlign w:val="center"/>
          </w:tcPr>
          <w:p>
            <w:pPr>
              <w:pStyle w:val="15"/>
              <w:rPr>
                <w:rFonts w:ascii="Times New Roman" w:hAnsi="Times New Roman" w:cs="Times New Roman"/>
                <w:sz w:val="21"/>
              </w:rPr>
            </w:pPr>
            <w:r>
              <w:rPr>
                <w:rFonts w:ascii="Times New Roman" w:hAnsi="Times New Roman" w:cs="Times New Roman"/>
                <w:sz w:val="21"/>
              </w:rPr>
              <w:t>氯气</w:t>
            </w:r>
          </w:p>
        </w:tc>
        <w:tc>
          <w:tcPr>
            <w:tcW w:w="5504" w:type="dxa"/>
            <w:vAlign w:val="center"/>
          </w:tcPr>
          <w:p>
            <w:pPr>
              <w:pStyle w:val="15"/>
              <w:spacing w:before="15"/>
              <w:rPr>
                <w:rFonts w:ascii="Times New Roman" w:hAnsi="Times New Roman" w:eastAsia="Times New Roman" w:cs="Times New Roman"/>
                <w:sz w:val="21"/>
              </w:rPr>
            </w:pPr>
            <w:r>
              <w:rPr>
                <w:rFonts w:ascii="Times New Roman" w:hAnsi="Times New Roman" w:cs="Times New Roman"/>
                <w:sz w:val="21"/>
              </w:rPr>
              <w:t xml:space="preserve">固定污染源排气中氯气的测定甲基橙分光光度法 </w:t>
            </w:r>
            <w:r>
              <w:rPr>
                <w:rFonts w:ascii="Times New Roman" w:hAnsi="Times New Roman" w:eastAsia="Times New Roman" w:cs="Times New Roman"/>
                <w:sz w:val="21"/>
              </w:rPr>
              <w:t>HJ/T 30-1999</w:t>
            </w:r>
          </w:p>
        </w:tc>
        <w:tc>
          <w:tcPr>
            <w:tcW w:w="1352" w:type="dxa"/>
            <w:vAlign w:val="center"/>
          </w:tcPr>
          <w:p>
            <w:pPr>
              <w:jc w:val="center"/>
              <w:rPr>
                <w:rFonts w:ascii="Times New Roman" w:hAnsi="Times New Roman" w:cs="Times New Roman"/>
                <w:sz w:val="21"/>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74" w:type="dxa"/>
            <w:vMerge w:val="continue"/>
            <w:tcBorders>
              <w:top w:val="nil"/>
            </w:tcBorders>
            <w:vAlign w:val="center"/>
          </w:tcPr>
          <w:p>
            <w:pPr>
              <w:jc w:val="center"/>
              <w:rPr>
                <w:rFonts w:ascii="Times New Roman" w:hAnsi="Times New Roman" w:cs="Times New Roman"/>
                <w:sz w:val="2"/>
                <w:szCs w:val="2"/>
              </w:rPr>
            </w:pPr>
          </w:p>
        </w:tc>
        <w:tc>
          <w:tcPr>
            <w:tcW w:w="931" w:type="dxa"/>
            <w:vAlign w:val="center"/>
          </w:tcPr>
          <w:p>
            <w:pPr>
              <w:pStyle w:val="15"/>
              <w:spacing w:before="87"/>
              <w:rPr>
                <w:rFonts w:ascii="Times New Roman" w:hAnsi="Times New Roman" w:cs="Times New Roman"/>
                <w:sz w:val="21"/>
              </w:rPr>
            </w:pPr>
            <w:r>
              <w:rPr>
                <w:rFonts w:ascii="Times New Roman" w:hAnsi="Times New Roman" w:cs="Times New Roman"/>
                <w:sz w:val="21"/>
              </w:rPr>
              <w:t>甲烷</w:t>
            </w:r>
          </w:p>
        </w:tc>
        <w:tc>
          <w:tcPr>
            <w:tcW w:w="5504" w:type="dxa"/>
            <w:vAlign w:val="center"/>
          </w:tcPr>
          <w:p>
            <w:pPr>
              <w:pStyle w:val="15"/>
              <w:spacing w:before="87"/>
              <w:rPr>
                <w:rFonts w:ascii="Times New Roman" w:hAnsi="Times New Roman" w:eastAsia="Times New Roman" w:cs="Times New Roman"/>
                <w:sz w:val="21"/>
              </w:rPr>
            </w:pPr>
            <w:r>
              <w:rPr>
                <w:rFonts w:ascii="Times New Roman" w:hAnsi="Times New Roman" w:cs="Times New Roman"/>
                <w:sz w:val="21"/>
              </w:rPr>
              <w:t xml:space="preserve">环境空气总烃甲烷非甲烷总烃的测定 </w:t>
            </w:r>
            <w:r>
              <w:rPr>
                <w:rFonts w:ascii="Times New Roman" w:hAnsi="Times New Roman" w:eastAsia="Times New Roman" w:cs="Times New Roman"/>
                <w:sz w:val="21"/>
              </w:rPr>
              <w:t>HJ604-2017</w:t>
            </w:r>
          </w:p>
        </w:tc>
        <w:tc>
          <w:tcPr>
            <w:tcW w:w="1352" w:type="dxa"/>
            <w:vAlign w:val="center"/>
          </w:tcPr>
          <w:p>
            <w:pPr>
              <w:spacing w:before="87"/>
              <w:jc w:val="center"/>
              <w:rPr>
                <w:rFonts w:ascii="Times New Roman" w:hAnsi="Times New Roman" w:cs="Times New Roman"/>
                <w:sz w:val="21"/>
              </w:rPr>
            </w:pPr>
            <w:r>
              <w:rPr>
                <w:rFonts w:hint="eastAsia" w:ascii="Times New Roman" w:hAnsi="Times New Roman" w:cs="Times New Roman"/>
                <w:sz w:val="21"/>
                <w:lang w:val="en-US" w:eastAsia="zh-CN"/>
              </w:rPr>
              <w:t>第三方检测</w:t>
            </w:r>
          </w:p>
        </w:tc>
      </w:tr>
    </w:tbl>
    <w:p>
      <w:pPr>
        <w:pStyle w:val="2"/>
        <w:ind w:firstLine="480"/>
        <w:rPr>
          <w:rFonts w:ascii="Times New Roman" w:hAnsi="Times New Roman" w:cs="Times New Roman"/>
        </w:rPr>
      </w:pPr>
      <w:r>
        <w:rPr>
          <w:rFonts w:ascii="Times New Roman" w:hAnsi="Times New Roman" w:cs="Times New Roman"/>
        </w:rPr>
        <w:t>3、废气无组织排放监测结果执行标准见表 7。</w:t>
      </w:r>
    </w:p>
    <w:p>
      <w:pPr>
        <w:pStyle w:val="20"/>
        <w:rPr>
          <w:rFonts w:cs="Times New Roman"/>
        </w:rPr>
      </w:pPr>
      <w:r>
        <w:rPr>
          <w:rFonts w:cs="Times New Roman"/>
        </w:rPr>
        <w:t>表 7</w:t>
      </w:r>
      <w:r>
        <w:rPr>
          <w:rFonts w:cs="Times New Roman"/>
        </w:rPr>
        <w:tab/>
      </w:r>
      <w:r>
        <w:rPr>
          <w:rFonts w:cs="Times New Roman"/>
        </w:rPr>
        <w:t>废气无组织排放监测结果执行标准</w:t>
      </w:r>
    </w:p>
    <w:tbl>
      <w:tblPr>
        <w:tblStyle w:val="21"/>
        <w:tblW w:w="0" w:type="auto"/>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174"/>
        <w:gridCol w:w="1140"/>
        <w:gridCol w:w="2866"/>
        <w:gridCol w:w="2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66" w:type="dxa"/>
          </w:tcPr>
          <w:p>
            <w:pPr>
              <w:pStyle w:val="15"/>
              <w:spacing w:before="2"/>
              <w:jc w:val="left"/>
              <w:rPr>
                <w:rFonts w:ascii="Times New Roman" w:hAnsi="Times New Roman" w:cs="Times New Roman"/>
                <w:b/>
                <w:sz w:val="16"/>
              </w:rPr>
            </w:pPr>
          </w:p>
          <w:p>
            <w:pPr>
              <w:pStyle w:val="15"/>
              <w:ind w:left="220"/>
              <w:jc w:val="left"/>
              <w:rPr>
                <w:rFonts w:ascii="Times New Roman" w:hAnsi="Times New Roman" w:cs="Times New Roman"/>
                <w:b/>
                <w:sz w:val="21"/>
              </w:rPr>
            </w:pPr>
            <w:r>
              <w:rPr>
                <w:rFonts w:ascii="Times New Roman" w:hAnsi="Times New Roman" w:cs="Times New Roman"/>
                <w:b/>
                <w:sz w:val="21"/>
              </w:rPr>
              <w:t>类别</w:t>
            </w:r>
          </w:p>
        </w:tc>
        <w:tc>
          <w:tcPr>
            <w:tcW w:w="1174" w:type="dxa"/>
          </w:tcPr>
          <w:p>
            <w:pPr>
              <w:pStyle w:val="15"/>
              <w:spacing w:before="2"/>
              <w:jc w:val="left"/>
              <w:rPr>
                <w:rFonts w:ascii="Times New Roman" w:hAnsi="Times New Roman" w:cs="Times New Roman"/>
                <w:b/>
                <w:sz w:val="16"/>
              </w:rPr>
            </w:pPr>
          </w:p>
          <w:p>
            <w:pPr>
              <w:pStyle w:val="15"/>
              <w:ind w:left="146" w:right="134"/>
              <w:rPr>
                <w:rFonts w:ascii="Times New Roman" w:hAnsi="Times New Roman" w:cs="Times New Roman"/>
                <w:b/>
                <w:sz w:val="21"/>
              </w:rPr>
            </w:pPr>
            <w:r>
              <w:rPr>
                <w:rFonts w:ascii="Times New Roman" w:hAnsi="Times New Roman" w:cs="Times New Roman"/>
                <w:b/>
                <w:sz w:val="21"/>
              </w:rPr>
              <w:t>监测项目</w:t>
            </w:r>
          </w:p>
        </w:tc>
        <w:tc>
          <w:tcPr>
            <w:tcW w:w="1140" w:type="dxa"/>
          </w:tcPr>
          <w:p>
            <w:pPr>
              <w:pStyle w:val="15"/>
              <w:spacing w:line="320" w:lineRule="exact"/>
              <w:ind w:left="252" w:right="242" w:firstLine="105"/>
              <w:jc w:val="left"/>
              <w:rPr>
                <w:rFonts w:ascii="Times New Roman" w:hAnsi="Times New Roman" w:cs="Times New Roman"/>
                <w:b/>
                <w:sz w:val="21"/>
              </w:rPr>
            </w:pPr>
            <w:r>
              <w:rPr>
                <w:rFonts w:ascii="Times New Roman" w:hAnsi="Times New Roman" w:cs="Times New Roman"/>
                <w:b/>
                <w:sz w:val="21"/>
              </w:rPr>
              <w:t>监测排放口</w:t>
            </w:r>
          </w:p>
        </w:tc>
        <w:tc>
          <w:tcPr>
            <w:tcW w:w="2866" w:type="dxa"/>
          </w:tcPr>
          <w:p>
            <w:pPr>
              <w:pStyle w:val="15"/>
              <w:spacing w:before="2"/>
              <w:jc w:val="left"/>
              <w:rPr>
                <w:rFonts w:ascii="Times New Roman" w:hAnsi="Times New Roman" w:cs="Times New Roman"/>
                <w:b/>
                <w:sz w:val="16"/>
              </w:rPr>
            </w:pPr>
          </w:p>
          <w:p>
            <w:pPr>
              <w:pStyle w:val="15"/>
              <w:ind w:left="326" w:right="316"/>
              <w:rPr>
                <w:rFonts w:ascii="Times New Roman" w:hAnsi="Times New Roman" w:cs="Times New Roman"/>
                <w:b/>
                <w:sz w:val="21"/>
              </w:rPr>
            </w:pPr>
            <w:r>
              <w:rPr>
                <w:rFonts w:ascii="Times New Roman" w:hAnsi="Times New Roman" w:cs="Times New Roman"/>
                <w:b/>
                <w:sz w:val="21"/>
              </w:rPr>
              <w:t>执行标准限值</w:t>
            </w:r>
          </w:p>
        </w:tc>
        <w:tc>
          <w:tcPr>
            <w:tcW w:w="2290" w:type="dxa"/>
          </w:tcPr>
          <w:p>
            <w:pPr>
              <w:pStyle w:val="15"/>
              <w:spacing w:before="2"/>
              <w:jc w:val="left"/>
              <w:rPr>
                <w:rFonts w:ascii="Times New Roman" w:hAnsi="Times New Roman" w:cs="Times New Roman"/>
                <w:b/>
                <w:sz w:val="16"/>
              </w:rPr>
            </w:pPr>
          </w:p>
          <w:p>
            <w:pPr>
              <w:pStyle w:val="15"/>
              <w:ind w:left="722"/>
              <w:jc w:val="left"/>
              <w:rPr>
                <w:rFonts w:ascii="Times New Roman" w:hAnsi="Times New Roman" w:cs="Times New Roman"/>
                <w:b/>
                <w:sz w:val="21"/>
              </w:rPr>
            </w:pPr>
            <w:r>
              <w:rPr>
                <w:rFonts w:ascii="Times New Roman" w:hAnsi="Times New Roman" w:cs="Times New Roman"/>
                <w:b/>
                <w:sz w:val="21"/>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66" w:type="dxa"/>
            <w:vMerge w:val="restart"/>
          </w:tcPr>
          <w:p>
            <w:pPr>
              <w:pStyle w:val="15"/>
              <w:jc w:val="left"/>
              <w:rPr>
                <w:rFonts w:ascii="Times New Roman" w:hAnsi="Times New Roman" w:cs="Times New Roman"/>
                <w:b/>
                <w:sz w:val="20"/>
              </w:rPr>
            </w:pPr>
          </w:p>
          <w:p>
            <w:pPr>
              <w:pStyle w:val="15"/>
              <w:spacing w:before="2"/>
              <w:jc w:val="left"/>
              <w:rPr>
                <w:rFonts w:ascii="Times New Roman" w:hAnsi="Times New Roman" w:cs="Times New Roman"/>
                <w:b/>
                <w:sz w:val="25"/>
              </w:rPr>
            </w:pPr>
          </w:p>
          <w:p>
            <w:pPr>
              <w:pStyle w:val="15"/>
              <w:spacing w:before="1" w:line="285" w:lineRule="auto"/>
              <w:ind w:left="117" w:right="104"/>
              <w:rPr>
                <w:rFonts w:ascii="Times New Roman" w:hAnsi="Times New Roman" w:cs="Times New Roman"/>
                <w:sz w:val="21"/>
              </w:rPr>
            </w:pPr>
            <w:r>
              <w:rPr>
                <w:rFonts w:ascii="Times New Roman" w:hAnsi="Times New Roman" w:cs="Times New Roman"/>
                <w:sz w:val="21"/>
              </w:rPr>
              <w:t>废气无组织排放</w:t>
            </w:r>
          </w:p>
        </w:tc>
        <w:tc>
          <w:tcPr>
            <w:tcW w:w="1174" w:type="dxa"/>
          </w:tcPr>
          <w:p>
            <w:pPr>
              <w:pStyle w:val="15"/>
              <w:spacing w:before="85"/>
              <w:ind w:left="7"/>
              <w:rPr>
                <w:rFonts w:ascii="Times New Roman" w:hAnsi="Times New Roman" w:cs="Times New Roman"/>
                <w:sz w:val="21"/>
              </w:rPr>
            </w:pPr>
            <w:r>
              <w:rPr>
                <w:rFonts w:ascii="Times New Roman" w:hAnsi="Times New Roman" w:cs="Times New Roman"/>
                <w:sz w:val="21"/>
              </w:rPr>
              <w:t>氨</w:t>
            </w:r>
          </w:p>
        </w:tc>
        <w:tc>
          <w:tcPr>
            <w:tcW w:w="1140" w:type="dxa"/>
            <w:vMerge w:val="restart"/>
          </w:tcPr>
          <w:p>
            <w:pPr>
              <w:pStyle w:val="15"/>
              <w:jc w:val="left"/>
              <w:rPr>
                <w:rFonts w:ascii="Times New Roman" w:hAnsi="Times New Roman" w:cs="Times New Roman"/>
                <w:b/>
                <w:sz w:val="20"/>
              </w:rPr>
            </w:pPr>
          </w:p>
          <w:p>
            <w:pPr>
              <w:pStyle w:val="15"/>
              <w:jc w:val="left"/>
              <w:rPr>
                <w:rFonts w:ascii="Times New Roman" w:hAnsi="Times New Roman" w:cs="Times New Roman"/>
                <w:b/>
                <w:sz w:val="20"/>
              </w:rPr>
            </w:pPr>
          </w:p>
          <w:p>
            <w:pPr>
              <w:pStyle w:val="15"/>
              <w:spacing w:before="7"/>
              <w:jc w:val="left"/>
              <w:rPr>
                <w:rFonts w:ascii="Times New Roman" w:hAnsi="Times New Roman" w:cs="Times New Roman"/>
                <w:b/>
                <w:sz w:val="17"/>
              </w:rPr>
            </w:pPr>
          </w:p>
          <w:p>
            <w:pPr>
              <w:pStyle w:val="15"/>
              <w:spacing w:line="288" w:lineRule="auto"/>
              <w:ind w:left="254" w:right="136" w:hanging="106"/>
              <w:jc w:val="left"/>
              <w:rPr>
                <w:rFonts w:ascii="Times New Roman" w:hAnsi="Times New Roman" w:cs="Times New Roman"/>
                <w:sz w:val="21"/>
              </w:rPr>
            </w:pPr>
            <w:r>
              <w:rPr>
                <w:rFonts w:ascii="Times New Roman" w:hAnsi="Times New Roman" w:cs="Times New Roman"/>
                <w:sz w:val="21"/>
              </w:rPr>
              <w:t>污水处理站周界</w:t>
            </w:r>
          </w:p>
        </w:tc>
        <w:tc>
          <w:tcPr>
            <w:tcW w:w="2866" w:type="dxa"/>
          </w:tcPr>
          <w:p>
            <w:pPr>
              <w:pStyle w:val="15"/>
              <w:spacing w:before="99"/>
              <w:ind w:left="321" w:right="316"/>
              <w:rPr>
                <w:rFonts w:ascii="Times New Roman" w:hAnsi="Times New Roman" w:cs="Times New Roman"/>
                <w:sz w:val="21"/>
              </w:rPr>
            </w:pPr>
            <w:r>
              <w:rPr>
                <w:rFonts w:ascii="Times New Roman" w:hAnsi="Times New Roman" w:cs="Times New Roman"/>
                <w:sz w:val="21"/>
              </w:rPr>
              <w:t>1.0mg/m</w:t>
            </w:r>
            <w:r>
              <w:rPr>
                <w:rFonts w:ascii="Times New Roman" w:hAnsi="Times New Roman" w:cs="Times New Roman"/>
                <w:sz w:val="21"/>
                <w:vertAlign w:val="superscript"/>
              </w:rPr>
              <w:t>3</w:t>
            </w:r>
          </w:p>
        </w:tc>
        <w:tc>
          <w:tcPr>
            <w:tcW w:w="2290" w:type="dxa"/>
            <w:vMerge w:val="restart"/>
          </w:tcPr>
          <w:p>
            <w:pPr>
              <w:pStyle w:val="15"/>
              <w:jc w:val="left"/>
              <w:rPr>
                <w:rFonts w:ascii="Times New Roman" w:hAnsi="Times New Roman" w:cs="Times New Roman"/>
                <w:b/>
              </w:rPr>
            </w:pPr>
          </w:p>
          <w:p>
            <w:pPr>
              <w:pStyle w:val="15"/>
              <w:spacing w:before="2"/>
              <w:jc w:val="left"/>
              <w:rPr>
                <w:rFonts w:ascii="Times New Roman" w:hAnsi="Times New Roman" w:cs="Times New Roman"/>
                <w:b/>
                <w:sz w:val="23"/>
              </w:rPr>
            </w:pPr>
          </w:p>
          <w:p>
            <w:pPr>
              <w:pStyle w:val="15"/>
              <w:spacing w:before="1" w:line="285" w:lineRule="auto"/>
              <w:ind w:left="122" w:right="81" w:hanging="37"/>
              <w:rPr>
                <w:rFonts w:ascii="Times New Roman" w:hAnsi="Times New Roman" w:cs="Times New Roman"/>
                <w:sz w:val="21"/>
              </w:rPr>
            </w:pPr>
            <w:r>
              <w:rPr>
                <w:rFonts w:ascii="Times New Roman" w:hAnsi="Times New Roman" w:cs="Times New Roman"/>
                <w:spacing w:val="-34"/>
                <w:sz w:val="21"/>
              </w:rPr>
              <w:t>《医疗机构水污染物排放 标准》</w:t>
            </w:r>
            <w:r>
              <w:rPr>
                <w:rFonts w:ascii="Times New Roman" w:hAnsi="Times New Roman" w:cs="Times New Roman"/>
                <w:spacing w:val="-17"/>
                <w:sz w:val="21"/>
              </w:rPr>
              <w:t>（</w:t>
            </w:r>
            <w:r>
              <w:rPr>
                <w:rFonts w:ascii="Times New Roman" w:hAnsi="Times New Roman" w:eastAsia="Times New Roman" w:cs="Times New Roman"/>
                <w:spacing w:val="-17"/>
                <w:sz w:val="21"/>
              </w:rPr>
              <w:t>GB</w:t>
            </w:r>
            <w:r>
              <w:rPr>
                <w:rFonts w:ascii="Times New Roman" w:hAnsi="Times New Roman" w:eastAsia="Times New Roman" w:cs="Times New Roman"/>
                <w:spacing w:val="-12"/>
                <w:sz w:val="21"/>
              </w:rPr>
              <w:t xml:space="preserve"> </w:t>
            </w:r>
            <w:r>
              <w:rPr>
                <w:rFonts w:ascii="Times New Roman" w:hAnsi="Times New Roman" w:eastAsia="Times New Roman" w:cs="Times New Roman"/>
                <w:spacing w:val="-18"/>
                <w:sz w:val="21"/>
              </w:rPr>
              <w:t>18466-2005</w:t>
            </w:r>
            <w:r>
              <w:rPr>
                <w:rFonts w:ascii="Times New Roman" w:hAnsi="Times New Roman" w:cs="Times New Roman"/>
                <w:spacing w:val="-18"/>
                <w:sz w:val="21"/>
              </w:rPr>
              <w:t>）</w:t>
            </w:r>
          </w:p>
          <w:p>
            <w:pPr>
              <w:pStyle w:val="15"/>
              <w:spacing w:line="267" w:lineRule="exact"/>
              <w:ind w:left="625" w:right="617"/>
              <w:rPr>
                <w:rFonts w:ascii="Times New Roman" w:hAnsi="Times New Roman" w:cs="Times New Roman"/>
                <w:sz w:val="21"/>
              </w:rPr>
            </w:pPr>
            <w:r>
              <w:rPr>
                <w:rFonts w:ascii="Times New Roman" w:hAnsi="Times New Roman" w:cs="Times New Roman"/>
                <w:sz w:val="21"/>
              </w:rPr>
              <w:t>中表</w:t>
            </w:r>
            <w:r>
              <w:rPr>
                <w:rFonts w:ascii="Times New Roman" w:hAnsi="Times New Roman" w:eastAsia="Times New Roman" w:cs="Times New Roman"/>
                <w:sz w:val="21"/>
              </w:rPr>
              <w:t xml:space="preserve">3 </w:t>
            </w:r>
            <w:r>
              <w:rPr>
                <w:rFonts w:ascii="Times New Roman" w:hAnsi="Times New Roman" w:cs="Times New Roman"/>
                <w:sz w:val="21"/>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66" w:type="dxa"/>
            <w:vMerge w:val="continue"/>
            <w:tcBorders>
              <w:top w:val="nil"/>
            </w:tcBorders>
          </w:tcPr>
          <w:p>
            <w:pPr>
              <w:rPr>
                <w:rFonts w:ascii="Times New Roman" w:hAnsi="Times New Roman" w:cs="Times New Roman"/>
                <w:sz w:val="2"/>
                <w:szCs w:val="2"/>
              </w:rPr>
            </w:pPr>
          </w:p>
        </w:tc>
        <w:tc>
          <w:tcPr>
            <w:tcW w:w="1174" w:type="dxa"/>
          </w:tcPr>
          <w:p>
            <w:pPr>
              <w:pStyle w:val="15"/>
              <w:spacing w:before="85"/>
              <w:ind w:left="146" w:right="134"/>
              <w:rPr>
                <w:rFonts w:ascii="Times New Roman" w:hAnsi="Times New Roman" w:cs="Times New Roman"/>
                <w:sz w:val="21"/>
              </w:rPr>
            </w:pPr>
            <w:r>
              <w:rPr>
                <w:rFonts w:ascii="Times New Roman" w:hAnsi="Times New Roman" w:cs="Times New Roman"/>
                <w:sz w:val="21"/>
              </w:rPr>
              <w:t>硫化氢</w:t>
            </w:r>
          </w:p>
        </w:tc>
        <w:tc>
          <w:tcPr>
            <w:tcW w:w="1140" w:type="dxa"/>
            <w:vMerge w:val="continue"/>
            <w:tcBorders>
              <w:top w:val="nil"/>
            </w:tcBorders>
          </w:tcPr>
          <w:p>
            <w:pPr>
              <w:rPr>
                <w:rFonts w:ascii="Times New Roman" w:hAnsi="Times New Roman" w:cs="Times New Roman"/>
                <w:sz w:val="2"/>
                <w:szCs w:val="2"/>
              </w:rPr>
            </w:pPr>
          </w:p>
        </w:tc>
        <w:tc>
          <w:tcPr>
            <w:tcW w:w="2866" w:type="dxa"/>
          </w:tcPr>
          <w:p>
            <w:pPr>
              <w:pStyle w:val="15"/>
              <w:spacing w:before="99"/>
              <w:ind w:left="321" w:right="316"/>
              <w:rPr>
                <w:rFonts w:ascii="Times New Roman" w:hAnsi="Times New Roman" w:cs="Times New Roman"/>
                <w:sz w:val="21"/>
              </w:rPr>
            </w:pPr>
            <w:r>
              <w:rPr>
                <w:rFonts w:ascii="Times New Roman" w:hAnsi="Times New Roman" w:cs="Times New Roman"/>
                <w:sz w:val="21"/>
              </w:rPr>
              <w:t>0.03mg/m</w:t>
            </w:r>
            <w:r>
              <w:rPr>
                <w:rFonts w:ascii="Times New Roman" w:hAnsi="Times New Roman" w:cs="Times New Roman"/>
                <w:sz w:val="21"/>
                <w:vertAlign w:val="superscript"/>
              </w:rPr>
              <w:t>3</w:t>
            </w:r>
          </w:p>
        </w:tc>
        <w:tc>
          <w:tcPr>
            <w:tcW w:w="2290" w:type="dxa"/>
            <w:vMerge w:val="continue"/>
            <w:tcBorders>
              <w:top w:val="nil"/>
            </w:tcBorders>
          </w:tcPr>
          <w:p>
            <w:pP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66" w:type="dxa"/>
            <w:vMerge w:val="continue"/>
            <w:tcBorders>
              <w:top w:val="nil"/>
            </w:tcBorders>
          </w:tcPr>
          <w:p>
            <w:pPr>
              <w:rPr>
                <w:rFonts w:ascii="Times New Roman" w:hAnsi="Times New Roman" w:cs="Times New Roman"/>
                <w:sz w:val="2"/>
                <w:szCs w:val="2"/>
              </w:rPr>
            </w:pPr>
          </w:p>
        </w:tc>
        <w:tc>
          <w:tcPr>
            <w:tcW w:w="1174" w:type="dxa"/>
          </w:tcPr>
          <w:p>
            <w:pPr>
              <w:pStyle w:val="15"/>
              <w:spacing w:before="85"/>
              <w:ind w:left="143" w:right="134"/>
              <w:rPr>
                <w:rFonts w:ascii="Times New Roman" w:hAnsi="Times New Roman" w:cs="Times New Roman"/>
                <w:sz w:val="21"/>
              </w:rPr>
            </w:pPr>
            <w:r>
              <w:rPr>
                <w:rFonts w:ascii="Times New Roman" w:hAnsi="Times New Roman" w:cs="Times New Roman"/>
                <w:sz w:val="21"/>
              </w:rPr>
              <w:t>臭气浓度</w:t>
            </w:r>
          </w:p>
        </w:tc>
        <w:tc>
          <w:tcPr>
            <w:tcW w:w="1140" w:type="dxa"/>
            <w:vMerge w:val="continue"/>
            <w:tcBorders>
              <w:top w:val="nil"/>
            </w:tcBorders>
          </w:tcPr>
          <w:p>
            <w:pPr>
              <w:rPr>
                <w:rFonts w:ascii="Times New Roman" w:hAnsi="Times New Roman" w:cs="Times New Roman"/>
                <w:sz w:val="2"/>
                <w:szCs w:val="2"/>
              </w:rPr>
            </w:pPr>
          </w:p>
        </w:tc>
        <w:tc>
          <w:tcPr>
            <w:tcW w:w="2866" w:type="dxa"/>
          </w:tcPr>
          <w:p>
            <w:pPr>
              <w:pStyle w:val="15"/>
              <w:spacing w:before="85"/>
              <w:ind w:left="326" w:right="316"/>
              <w:rPr>
                <w:rFonts w:ascii="Times New Roman" w:hAnsi="Times New Roman" w:cs="Times New Roman"/>
                <w:sz w:val="21"/>
              </w:rPr>
            </w:pPr>
            <w:r>
              <w:rPr>
                <w:rFonts w:ascii="Times New Roman" w:hAnsi="Times New Roman" w:eastAsia="Times New Roman" w:cs="Times New Roman"/>
                <w:sz w:val="21"/>
              </w:rPr>
              <w:t>10</w:t>
            </w:r>
            <w:r>
              <w:rPr>
                <w:rFonts w:ascii="Times New Roman" w:hAnsi="Times New Roman" w:cs="Times New Roman"/>
                <w:sz w:val="21"/>
              </w:rPr>
              <w:t>（无量纲）</w:t>
            </w:r>
          </w:p>
        </w:tc>
        <w:tc>
          <w:tcPr>
            <w:tcW w:w="2290" w:type="dxa"/>
            <w:vMerge w:val="continue"/>
            <w:tcBorders>
              <w:top w:val="nil"/>
            </w:tcBorders>
          </w:tcPr>
          <w:p>
            <w:pP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6" w:type="dxa"/>
            <w:vMerge w:val="continue"/>
            <w:tcBorders>
              <w:top w:val="nil"/>
            </w:tcBorders>
          </w:tcPr>
          <w:p>
            <w:pPr>
              <w:rPr>
                <w:rFonts w:ascii="Times New Roman" w:hAnsi="Times New Roman" w:cs="Times New Roman"/>
                <w:sz w:val="2"/>
                <w:szCs w:val="2"/>
              </w:rPr>
            </w:pPr>
          </w:p>
        </w:tc>
        <w:tc>
          <w:tcPr>
            <w:tcW w:w="1174" w:type="dxa"/>
          </w:tcPr>
          <w:p>
            <w:pPr>
              <w:pStyle w:val="15"/>
              <w:spacing w:before="85"/>
              <w:ind w:left="146" w:right="134"/>
              <w:rPr>
                <w:rFonts w:ascii="Times New Roman" w:hAnsi="Times New Roman" w:cs="Times New Roman"/>
                <w:sz w:val="21"/>
              </w:rPr>
            </w:pPr>
            <w:r>
              <w:rPr>
                <w:rFonts w:ascii="Times New Roman" w:hAnsi="Times New Roman" w:cs="Times New Roman"/>
                <w:sz w:val="21"/>
              </w:rPr>
              <w:t>氯气</w:t>
            </w:r>
          </w:p>
        </w:tc>
        <w:tc>
          <w:tcPr>
            <w:tcW w:w="1140" w:type="dxa"/>
            <w:vMerge w:val="continue"/>
            <w:tcBorders>
              <w:top w:val="nil"/>
            </w:tcBorders>
          </w:tcPr>
          <w:p>
            <w:pPr>
              <w:rPr>
                <w:rFonts w:ascii="Times New Roman" w:hAnsi="Times New Roman" w:cs="Times New Roman"/>
                <w:sz w:val="2"/>
                <w:szCs w:val="2"/>
              </w:rPr>
            </w:pPr>
          </w:p>
        </w:tc>
        <w:tc>
          <w:tcPr>
            <w:tcW w:w="2866" w:type="dxa"/>
          </w:tcPr>
          <w:p>
            <w:pPr>
              <w:pStyle w:val="15"/>
              <w:spacing w:before="99"/>
              <w:ind w:left="321" w:right="316"/>
              <w:rPr>
                <w:rFonts w:ascii="Times New Roman" w:hAnsi="Times New Roman" w:cs="Times New Roman"/>
                <w:sz w:val="21"/>
              </w:rPr>
            </w:pPr>
            <w:r>
              <w:rPr>
                <w:rFonts w:ascii="Times New Roman" w:hAnsi="Times New Roman" w:cs="Times New Roman"/>
                <w:sz w:val="21"/>
              </w:rPr>
              <w:t>0.1mg/m</w:t>
            </w:r>
            <w:r>
              <w:rPr>
                <w:rFonts w:ascii="Times New Roman" w:hAnsi="Times New Roman" w:cs="Times New Roman"/>
                <w:sz w:val="21"/>
                <w:vertAlign w:val="superscript"/>
              </w:rPr>
              <w:t>3</w:t>
            </w:r>
          </w:p>
        </w:tc>
        <w:tc>
          <w:tcPr>
            <w:tcW w:w="2290" w:type="dxa"/>
            <w:vMerge w:val="continue"/>
            <w:tcBorders>
              <w:top w:val="nil"/>
            </w:tcBorders>
          </w:tcPr>
          <w:p>
            <w:pP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66" w:type="dxa"/>
            <w:vMerge w:val="continue"/>
            <w:tcBorders>
              <w:top w:val="nil"/>
            </w:tcBorders>
          </w:tcPr>
          <w:p>
            <w:pPr>
              <w:rPr>
                <w:rFonts w:ascii="Times New Roman" w:hAnsi="Times New Roman" w:cs="Times New Roman"/>
                <w:sz w:val="2"/>
                <w:szCs w:val="2"/>
              </w:rPr>
            </w:pPr>
          </w:p>
        </w:tc>
        <w:tc>
          <w:tcPr>
            <w:tcW w:w="1174" w:type="dxa"/>
          </w:tcPr>
          <w:p>
            <w:pPr>
              <w:pStyle w:val="15"/>
              <w:spacing w:before="85"/>
              <w:ind w:left="146" w:right="134"/>
              <w:rPr>
                <w:rFonts w:ascii="Times New Roman" w:hAnsi="Times New Roman" w:cs="Times New Roman"/>
                <w:sz w:val="21"/>
              </w:rPr>
            </w:pPr>
            <w:r>
              <w:rPr>
                <w:rFonts w:ascii="Times New Roman" w:hAnsi="Times New Roman" w:cs="Times New Roman"/>
                <w:sz w:val="21"/>
              </w:rPr>
              <w:t>甲烷</w:t>
            </w:r>
          </w:p>
        </w:tc>
        <w:tc>
          <w:tcPr>
            <w:tcW w:w="1140" w:type="dxa"/>
            <w:vMerge w:val="continue"/>
            <w:tcBorders>
              <w:top w:val="nil"/>
            </w:tcBorders>
          </w:tcPr>
          <w:p>
            <w:pPr>
              <w:rPr>
                <w:rFonts w:ascii="Times New Roman" w:hAnsi="Times New Roman" w:cs="Times New Roman"/>
                <w:sz w:val="2"/>
                <w:szCs w:val="2"/>
              </w:rPr>
            </w:pPr>
          </w:p>
        </w:tc>
        <w:tc>
          <w:tcPr>
            <w:tcW w:w="2866" w:type="dxa"/>
          </w:tcPr>
          <w:p>
            <w:pPr>
              <w:pStyle w:val="15"/>
              <w:spacing w:before="85"/>
              <w:ind w:left="329" w:right="316"/>
              <w:rPr>
                <w:rFonts w:ascii="Times New Roman" w:hAnsi="Times New Roman" w:cs="Times New Roman"/>
                <w:sz w:val="21"/>
              </w:rPr>
            </w:pPr>
            <w:r>
              <w:rPr>
                <w:rFonts w:ascii="Times New Roman" w:hAnsi="Times New Roman" w:eastAsia="Times New Roman" w:cs="Times New Roman"/>
                <w:sz w:val="21"/>
              </w:rPr>
              <w:t>1</w:t>
            </w:r>
            <w:r>
              <w:rPr>
                <w:rFonts w:ascii="Times New Roman" w:hAnsi="Times New Roman" w:cs="Times New Roman"/>
                <w:sz w:val="21"/>
              </w:rPr>
              <w:t>（最高体积百分数</w:t>
            </w:r>
            <w:r>
              <w:rPr>
                <w:rFonts w:ascii="Times New Roman" w:hAnsi="Times New Roman" w:eastAsia="Times New Roman" w:cs="Times New Roman"/>
                <w:sz w:val="21"/>
              </w:rPr>
              <w:t>%</w:t>
            </w:r>
            <w:r>
              <w:rPr>
                <w:rFonts w:ascii="Times New Roman" w:hAnsi="Times New Roman" w:cs="Times New Roman"/>
                <w:sz w:val="21"/>
              </w:rPr>
              <w:t>）</w:t>
            </w:r>
          </w:p>
        </w:tc>
        <w:tc>
          <w:tcPr>
            <w:tcW w:w="2290" w:type="dxa"/>
            <w:vMerge w:val="continue"/>
            <w:tcBorders>
              <w:top w:val="nil"/>
            </w:tcBorders>
          </w:tcPr>
          <w:p>
            <w:pPr>
              <w:rPr>
                <w:rFonts w:ascii="Times New Roman" w:hAnsi="Times New Roman" w:cs="Times New Roman"/>
                <w:sz w:val="2"/>
                <w:szCs w:val="2"/>
              </w:rPr>
            </w:pPr>
          </w:p>
        </w:tc>
      </w:tr>
    </w:tbl>
    <w:p>
      <w:pPr>
        <w:pStyle w:val="2"/>
        <w:ind w:firstLine="480"/>
        <w:rPr>
          <w:rFonts w:ascii="Times New Roman" w:hAnsi="Times New Roman" w:cs="Times New Roman"/>
        </w:rPr>
      </w:pPr>
      <w:r>
        <w:rPr>
          <w:rFonts w:ascii="Times New Roman" w:hAnsi="Times New Roman" w:cs="Times New Roman"/>
        </w:rPr>
        <w:t>4、废气无组织排放监测仪器设备</w:t>
      </w:r>
    </w:p>
    <w:p>
      <w:pPr>
        <w:pStyle w:val="2"/>
        <w:ind w:firstLine="480"/>
        <w:rPr>
          <w:rFonts w:ascii="Times New Roman" w:hAnsi="Times New Roman" w:cs="Times New Roman"/>
        </w:rPr>
      </w:pPr>
      <w:r>
        <w:rPr>
          <w:rFonts w:ascii="Times New Roman" w:hAnsi="Times New Roman" w:cs="Times New Roman"/>
        </w:rPr>
        <w:t>废气无组织排放监测仪器设备见表 8。</w:t>
      </w:r>
    </w:p>
    <w:p>
      <w:pPr>
        <w:pStyle w:val="20"/>
        <w:rPr>
          <w:rFonts w:cs="Times New Roman"/>
        </w:rPr>
      </w:pPr>
      <w:r>
        <w:rPr>
          <w:rFonts w:cs="Times New Roman"/>
        </w:rPr>
        <w:t>表 8</w:t>
      </w:r>
      <w:r>
        <w:rPr>
          <w:rFonts w:cs="Times New Roman"/>
        </w:rPr>
        <w:tab/>
      </w:r>
      <w:r>
        <w:rPr>
          <w:rFonts w:cs="Times New Roman"/>
        </w:rPr>
        <w:t>废气无组织排放监测仪器设备表</w:t>
      </w:r>
    </w:p>
    <w:tbl>
      <w:tblPr>
        <w:tblStyle w:val="21"/>
        <w:tblW w:w="8781"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993"/>
        <w:gridCol w:w="2538"/>
        <w:gridCol w:w="1580"/>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02" w:type="dxa"/>
            <w:vAlign w:val="center"/>
          </w:tcPr>
          <w:p>
            <w:pPr>
              <w:pStyle w:val="15"/>
              <w:spacing w:line="320" w:lineRule="exact"/>
              <w:ind w:left="366" w:right="146" w:hanging="212"/>
              <w:rPr>
                <w:rFonts w:ascii="Times New Roman" w:hAnsi="Times New Roman" w:cs="Times New Roman"/>
                <w:b/>
                <w:sz w:val="21"/>
              </w:rPr>
            </w:pPr>
            <w:r>
              <w:rPr>
                <w:rFonts w:ascii="Times New Roman" w:hAnsi="Times New Roman" w:cs="Times New Roman"/>
                <w:b/>
                <w:sz w:val="21"/>
              </w:rPr>
              <w:t>监测点位</w:t>
            </w:r>
          </w:p>
        </w:tc>
        <w:tc>
          <w:tcPr>
            <w:tcW w:w="1993" w:type="dxa"/>
            <w:vAlign w:val="center"/>
          </w:tcPr>
          <w:p>
            <w:pPr>
              <w:pStyle w:val="15"/>
              <w:spacing w:before="1"/>
              <w:ind w:left="556" w:right="543"/>
              <w:rPr>
                <w:rFonts w:ascii="Times New Roman" w:hAnsi="Times New Roman" w:cs="Times New Roman"/>
                <w:b/>
                <w:sz w:val="21"/>
              </w:rPr>
            </w:pPr>
            <w:r>
              <w:rPr>
                <w:rFonts w:ascii="Times New Roman" w:hAnsi="Times New Roman" w:cs="Times New Roman"/>
                <w:b/>
                <w:sz w:val="21"/>
              </w:rPr>
              <w:t>监测项目</w:t>
            </w:r>
          </w:p>
        </w:tc>
        <w:tc>
          <w:tcPr>
            <w:tcW w:w="2538" w:type="dxa"/>
            <w:vAlign w:val="center"/>
          </w:tcPr>
          <w:p>
            <w:pPr>
              <w:pStyle w:val="15"/>
              <w:spacing w:before="1"/>
              <w:ind w:left="509" w:right="504"/>
              <w:rPr>
                <w:rFonts w:ascii="Times New Roman" w:hAnsi="Times New Roman" w:cs="Times New Roman"/>
                <w:b/>
                <w:sz w:val="21"/>
              </w:rPr>
            </w:pPr>
            <w:r>
              <w:rPr>
                <w:rFonts w:ascii="Times New Roman" w:hAnsi="Times New Roman" w:cs="Times New Roman"/>
                <w:b/>
                <w:sz w:val="21"/>
              </w:rPr>
              <w:t>仪器</w:t>
            </w:r>
          </w:p>
        </w:tc>
        <w:tc>
          <w:tcPr>
            <w:tcW w:w="1580" w:type="dxa"/>
            <w:vAlign w:val="center"/>
          </w:tcPr>
          <w:p>
            <w:pPr>
              <w:pStyle w:val="15"/>
              <w:spacing w:before="1"/>
              <w:ind w:left="341" w:right="335"/>
              <w:rPr>
                <w:rFonts w:ascii="Times New Roman" w:hAnsi="Times New Roman" w:cs="Times New Roman"/>
                <w:b/>
                <w:sz w:val="21"/>
              </w:rPr>
            </w:pPr>
            <w:r>
              <w:rPr>
                <w:rFonts w:ascii="Times New Roman" w:hAnsi="Times New Roman" w:cs="Times New Roman"/>
                <w:b/>
                <w:sz w:val="21"/>
              </w:rPr>
              <w:t>规格型号</w:t>
            </w:r>
          </w:p>
        </w:tc>
        <w:tc>
          <w:tcPr>
            <w:tcW w:w="1468" w:type="dxa"/>
            <w:vAlign w:val="center"/>
          </w:tcPr>
          <w:p>
            <w:pPr>
              <w:pStyle w:val="15"/>
              <w:spacing w:before="1"/>
              <w:ind w:left="182" w:right="180"/>
              <w:rPr>
                <w:rFonts w:ascii="Times New Roman" w:hAnsi="Times New Roman" w:cs="Times New Roman"/>
                <w:b/>
                <w:sz w:val="21"/>
              </w:rPr>
            </w:pPr>
            <w:r>
              <w:rPr>
                <w:rFonts w:ascii="Times New Roman" w:hAnsi="Times New Roman"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202" w:type="dxa"/>
            <w:vMerge w:val="restart"/>
            <w:vAlign w:val="center"/>
          </w:tcPr>
          <w:p>
            <w:pPr>
              <w:pStyle w:val="15"/>
              <w:spacing w:before="1" w:line="285" w:lineRule="auto"/>
              <w:ind w:left="158" w:right="144"/>
              <w:rPr>
                <w:rFonts w:ascii="Times New Roman" w:hAnsi="Times New Roman" w:cs="Times New Roman"/>
                <w:sz w:val="21"/>
              </w:rPr>
            </w:pPr>
            <w:r>
              <w:rPr>
                <w:rFonts w:ascii="Times New Roman" w:hAnsi="Times New Roman" w:cs="Times New Roman"/>
                <w:sz w:val="21"/>
              </w:rPr>
              <w:t>污水处理站周界</w:t>
            </w:r>
          </w:p>
        </w:tc>
        <w:tc>
          <w:tcPr>
            <w:tcW w:w="1993" w:type="dxa"/>
            <w:vAlign w:val="center"/>
          </w:tcPr>
          <w:p>
            <w:pPr>
              <w:pStyle w:val="15"/>
              <w:spacing w:before="85"/>
              <w:ind w:left="8"/>
              <w:rPr>
                <w:rFonts w:ascii="Times New Roman" w:hAnsi="Times New Roman" w:cs="Times New Roman"/>
                <w:sz w:val="21"/>
              </w:rPr>
            </w:pPr>
            <w:r>
              <w:rPr>
                <w:rFonts w:ascii="Times New Roman" w:hAnsi="Times New Roman" w:cs="Times New Roman"/>
                <w:sz w:val="21"/>
              </w:rPr>
              <w:t>氨</w:t>
            </w:r>
          </w:p>
        </w:tc>
        <w:tc>
          <w:tcPr>
            <w:tcW w:w="2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default" w:ascii="Times New Roman" w:hAnsi="Times New Roman" w:eastAsia="宋体" w:cs="Times New Roman"/>
                <w:sz w:val="21"/>
                <w:szCs w:val="22"/>
                <w:lang w:val="en-US" w:eastAsia="zh-CN" w:bidi="zh-CN"/>
              </w:rPr>
              <w:t>紫外可见分光光度计</w:t>
            </w:r>
          </w:p>
        </w:tc>
        <w:tc>
          <w:tcPr>
            <w:tcW w:w="1580" w:type="dxa"/>
            <w:vAlign w:val="center"/>
          </w:tcPr>
          <w:p>
            <w:pPr>
              <w:adjustRightInd w:val="0"/>
              <w:snapToGrid w:val="0"/>
              <w:spacing w:line="260" w:lineRule="exact"/>
              <w:jc w:val="center"/>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EQ-2-J008</w:t>
            </w:r>
          </w:p>
        </w:tc>
        <w:tc>
          <w:tcPr>
            <w:tcW w:w="1468" w:type="dxa"/>
            <w:vMerge w:val="restart"/>
            <w:vAlign w:val="center"/>
          </w:tcPr>
          <w:p>
            <w:pPr>
              <w:pStyle w:val="15"/>
              <w:spacing w:before="85"/>
              <w:ind w:left="185" w:right="180"/>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2" w:type="dxa"/>
            <w:vMerge w:val="continue"/>
            <w:tcBorders>
              <w:top w:val="nil"/>
            </w:tcBorders>
            <w:vAlign w:val="center"/>
          </w:tcPr>
          <w:p>
            <w:pPr>
              <w:jc w:val="center"/>
              <w:rPr>
                <w:rFonts w:ascii="Times New Roman" w:hAnsi="Times New Roman" w:cs="Times New Roman"/>
                <w:sz w:val="2"/>
                <w:szCs w:val="2"/>
              </w:rPr>
            </w:pPr>
          </w:p>
        </w:tc>
        <w:tc>
          <w:tcPr>
            <w:tcW w:w="1993" w:type="dxa"/>
            <w:vAlign w:val="center"/>
          </w:tcPr>
          <w:p>
            <w:pPr>
              <w:pStyle w:val="15"/>
              <w:spacing w:before="85"/>
              <w:ind w:left="556" w:right="543"/>
              <w:rPr>
                <w:rFonts w:ascii="Times New Roman" w:hAnsi="Times New Roman" w:cs="Times New Roman"/>
                <w:sz w:val="21"/>
              </w:rPr>
            </w:pPr>
            <w:r>
              <w:rPr>
                <w:rFonts w:ascii="Times New Roman" w:hAnsi="Times New Roman" w:cs="Times New Roman"/>
                <w:sz w:val="21"/>
              </w:rPr>
              <w:t>硫化氢</w:t>
            </w:r>
          </w:p>
        </w:tc>
        <w:tc>
          <w:tcPr>
            <w:tcW w:w="2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default" w:ascii="Times New Roman" w:hAnsi="Times New Roman" w:eastAsia="宋体" w:cs="Times New Roman"/>
                <w:sz w:val="21"/>
                <w:szCs w:val="22"/>
                <w:lang w:val="en-US" w:eastAsia="zh-CN" w:bidi="zh-CN"/>
              </w:rPr>
              <w:t>紫外可见分光光度计</w:t>
            </w:r>
          </w:p>
        </w:tc>
        <w:tc>
          <w:tcPr>
            <w:tcW w:w="1580" w:type="dxa"/>
            <w:vAlign w:val="center"/>
          </w:tcPr>
          <w:p>
            <w:pPr>
              <w:adjustRightInd w:val="0"/>
              <w:snapToGrid w:val="0"/>
              <w:spacing w:line="260" w:lineRule="exact"/>
              <w:jc w:val="center"/>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EQ-2-J009</w:t>
            </w:r>
          </w:p>
        </w:tc>
        <w:tc>
          <w:tcPr>
            <w:tcW w:w="1468" w:type="dxa"/>
            <w:vMerge w:val="continue"/>
            <w:vAlign w:val="center"/>
          </w:tcPr>
          <w:p>
            <w:pPr>
              <w:pStyle w:val="15"/>
              <w:spacing w:before="85"/>
              <w:ind w:left="185" w:right="180"/>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202" w:type="dxa"/>
            <w:vMerge w:val="continue"/>
            <w:tcBorders>
              <w:top w:val="nil"/>
            </w:tcBorders>
            <w:vAlign w:val="center"/>
          </w:tcPr>
          <w:p>
            <w:pPr>
              <w:jc w:val="center"/>
              <w:rPr>
                <w:rFonts w:ascii="Times New Roman" w:hAnsi="Times New Roman" w:cs="Times New Roman"/>
                <w:sz w:val="2"/>
                <w:szCs w:val="2"/>
              </w:rPr>
            </w:pPr>
          </w:p>
        </w:tc>
        <w:tc>
          <w:tcPr>
            <w:tcW w:w="1993" w:type="dxa"/>
            <w:vAlign w:val="center"/>
          </w:tcPr>
          <w:p>
            <w:pPr>
              <w:pStyle w:val="15"/>
              <w:spacing w:before="85"/>
              <w:ind w:left="553" w:right="543"/>
              <w:rPr>
                <w:rFonts w:ascii="Times New Roman" w:hAnsi="Times New Roman" w:cs="Times New Roman"/>
                <w:sz w:val="21"/>
              </w:rPr>
            </w:pPr>
            <w:r>
              <w:rPr>
                <w:rFonts w:ascii="Times New Roman" w:hAnsi="Times New Roman" w:cs="Times New Roman"/>
                <w:sz w:val="21"/>
              </w:rPr>
              <w:t>臭气浓度</w:t>
            </w:r>
          </w:p>
        </w:tc>
        <w:tc>
          <w:tcPr>
            <w:tcW w:w="2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default" w:ascii="Times New Roman" w:hAnsi="Times New Roman" w:eastAsia="宋体" w:cs="Times New Roman"/>
                <w:sz w:val="21"/>
                <w:szCs w:val="22"/>
                <w:lang w:val="en-US" w:eastAsia="zh-CN" w:bidi="zh-CN"/>
              </w:rPr>
              <w:t>/</w:t>
            </w:r>
          </w:p>
        </w:tc>
        <w:tc>
          <w:tcPr>
            <w:tcW w:w="1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default" w:ascii="Times New Roman" w:hAnsi="Times New Roman" w:eastAsia="宋体" w:cs="Times New Roman"/>
                <w:sz w:val="21"/>
                <w:szCs w:val="22"/>
                <w:lang w:val="en-US" w:eastAsia="zh-CN" w:bidi="zh-CN"/>
              </w:rPr>
              <w:t>/</w:t>
            </w:r>
          </w:p>
        </w:tc>
        <w:tc>
          <w:tcPr>
            <w:tcW w:w="1468" w:type="dxa"/>
            <w:vMerge w:val="continue"/>
            <w:vAlign w:val="center"/>
          </w:tcPr>
          <w:p>
            <w:pPr>
              <w:pStyle w:val="15"/>
              <w:spacing w:before="85"/>
              <w:ind w:left="185" w:right="180"/>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2" w:type="dxa"/>
            <w:vMerge w:val="continue"/>
            <w:tcBorders>
              <w:top w:val="nil"/>
            </w:tcBorders>
            <w:vAlign w:val="center"/>
          </w:tcPr>
          <w:p>
            <w:pPr>
              <w:jc w:val="center"/>
              <w:rPr>
                <w:rFonts w:ascii="Times New Roman" w:hAnsi="Times New Roman" w:cs="Times New Roman"/>
                <w:sz w:val="2"/>
                <w:szCs w:val="2"/>
              </w:rPr>
            </w:pPr>
          </w:p>
        </w:tc>
        <w:tc>
          <w:tcPr>
            <w:tcW w:w="1993" w:type="dxa"/>
            <w:vAlign w:val="center"/>
          </w:tcPr>
          <w:p>
            <w:pPr>
              <w:pStyle w:val="15"/>
              <w:spacing w:before="85"/>
              <w:ind w:left="556" w:right="543"/>
              <w:rPr>
                <w:rFonts w:ascii="Times New Roman" w:hAnsi="Times New Roman" w:cs="Times New Roman"/>
                <w:sz w:val="21"/>
              </w:rPr>
            </w:pPr>
            <w:r>
              <w:rPr>
                <w:rFonts w:ascii="Times New Roman" w:hAnsi="Times New Roman" w:cs="Times New Roman"/>
                <w:sz w:val="21"/>
              </w:rPr>
              <w:t>氯气</w:t>
            </w:r>
          </w:p>
        </w:tc>
        <w:tc>
          <w:tcPr>
            <w:tcW w:w="2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default" w:ascii="Times New Roman" w:hAnsi="Times New Roman" w:eastAsia="宋体" w:cs="Times New Roman"/>
                <w:sz w:val="21"/>
                <w:szCs w:val="22"/>
                <w:lang w:val="en-US" w:eastAsia="zh-CN" w:bidi="zh-CN"/>
              </w:rPr>
              <w:t>紫外可见分光光度计</w:t>
            </w:r>
          </w:p>
        </w:tc>
        <w:tc>
          <w:tcPr>
            <w:tcW w:w="1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EQ-2-J008</w:t>
            </w:r>
          </w:p>
        </w:tc>
        <w:tc>
          <w:tcPr>
            <w:tcW w:w="1468" w:type="dxa"/>
            <w:vMerge w:val="continue"/>
            <w:vAlign w:val="center"/>
          </w:tcPr>
          <w:p>
            <w:pPr>
              <w:pStyle w:val="15"/>
              <w:spacing w:before="85"/>
              <w:ind w:left="185" w:right="180"/>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202" w:type="dxa"/>
            <w:vMerge w:val="continue"/>
            <w:tcBorders>
              <w:top w:val="nil"/>
            </w:tcBorders>
            <w:vAlign w:val="center"/>
          </w:tcPr>
          <w:p>
            <w:pPr>
              <w:jc w:val="center"/>
              <w:rPr>
                <w:rFonts w:ascii="Times New Roman" w:hAnsi="Times New Roman" w:cs="Times New Roman"/>
                <w:sz w:val="2"/>
                <w:szCs w:val="2"/>
              </w:rPr>
            </w:pPr>
          </w:p>
        </w:tc>
        <w:tc>
          <w:tcPr>
            <w:tcW w:w="1993" w:type="dxa"/>
            <w:vAlign w:val="center"/>
          </w:tcPr>
          <w:p>
            <w:pPr>
              <w:pStyle w:val="15"/>
              <w:spacing w:before="85"/>
              <w:ind w:left="556" w:right="543"/>
              <w:rPr>
                <w:rFonts w:ascii="Times New Roman" w:hAnsi="Times New Roman" w:cs="Times New Roman"/>
                <w:sz w:val="21"/>
              </w:rPr>
            </w:pPr>
            <w:r>
              <w:rPr>
                <w:rFonts w:ascii="Times New Roman" w:hAnsi="Times New Roman" w:cs="Times New Roman"/>
                <w:sz w:val="21"/>
              </w:rPr>
              <w:t>甲烷</w:t>
            </w:r>
          </w:p>
        </w:tc>
        <w:tc>
          <w:tcPr>
            <w:tcW w:w="253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default" w:ascii="Times New Roman" w:hAnsi="Times New Roman" w:eastAsia="宋体" w:cs="Times New Roman"/>
                <w:sz w:val="21"/>
                <w:szCs w:val="22"/>
                <w:lang w:val="en-US" w:eastAsia="zh-CN" w:bidi="zh-CN"/>
              </w:rPr>
              <w:t>气相色谱仪</w:t>
            </w:r>
          </w:p>
        </w:tc>
        <w:tc>
          <w:tcPr>
            <w:tcW w:w="1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宋体" w:cs="Times New Roman"/>
                <w:sz w:val="21"/>
                <w:szCs w:val="22"/>
                <w:lang w:val="zh-CN" w:eastAsia="zh-CN" w:bidi="zh-CN"/>
              </w:rPr>
            </w:pPr>
            <w:r>
              <w:rPr>
                <w:rFonts w:hint="eastAsia" w:ascii="Times New Roman" w:hAnsi="Times New Roman" w:eastAsia="宋体" w:cs="Times New Roman"/>
                <w:sz w:val="21"/>
                <w:szCs w:val="22"/>
                <w:lang w:val="en-US" w:eastAsia="zh-CN" w:bidi="zh-CN"/>
              </w:rPr>
              <w:t>EQ-2-J053</w:t>
            </w:r>
          </w:p>
        </w:tc>
        <w:tc>
          <w:tcPr>
            <w:tcW w:w="1468" w:type="dxa"/>
            <w:vMerge w:val="continue"/>
            <w:vAlign w:val="center"/>
          </w:tcPr>
          <w:p>
            <w:pPr>
              <w:pStyle w:val="15"/>
              <w:spacing w:before="85"/>
              <w:ind w:left="185" w:right="180"/>
              <w:rPr>
                <w:rFonts w:ascii="Times New Roman" w:hAnsi="Times New Roman" w:cs="Times New Roman"/>
                <w:sz w:val="21"/>
              </w:rPr>
            </w:pPr>
          </w:p>
        </w:tc>
      </w:tr>
    </w:tbl>
    <w:p>
      <w:pPr>
        <w:pStyle w:val="4"/>
        <w:spacing w:before="156"/>
        <w:rPr>
          <w:rFonts w:ascii="Times New Roman" w:hAnsi="Times New Roman" w:cs="Times New Roman"/>
        </w:rPr>
      </w:pPr>
      <w:r>
        <w:rPr>
          <w:rFonts w:ascii="Times New Roman" w:hAnsi="Times New Roman" w:cs="Times New Roman"/>
        </w:rPr>
        <w:t>（三）废水监测方案</w:t>
      </w:r>
    </w:p>
    <w:p>
      <w:pPr>
        <w:pStyle w:val="2"/>
        <w:ind w:firstLine="480"/>
        <w:rPr>
          <w:rFonts w:ascii="Times New Roman" w:hAnsi="Times New Roman" w:cs="Times New Roman"/>
        </w:rPr>
      </w:pPr>
      <w:r>
        <w:rPr>
          <w:rFonts w:ascii="Times New Roman" w:hAnsi="Times New Roman" w:cs="Times New Roman"/>
        </w:rPr>
        <w:t>1、废水监测项目及监测频次见表 9。</w:t>
      </w:r>
    </w:p>
    <w:p>
      <w:pPr>
        <w:pStyle w:val="2"/>
        <w:ind w:firstLine="480"/>
        <w:rPr>
          <w:rFonts w:ascii="Times New Roman" w:hAnsi="Times New Roman" w:cs="Times New Roman"/>
        </w:rPr>
      </w:pPr>
      <w:r>
        <w:rPr>
          <w:rFonts w:ascii="Times New Roman" w:hAnsi="Times New Roman" w:cs="Times New Roman"/>
        </w:rPr>
        <w:t>本院废水监测点位、监测项目及监测频次依据《排污许可证申请与核发技术规范 医疗机构》（HJ 1105-2020）表 4 要求。</w:t>
      </w:r>
    </w:p>
    <w:p>
      <w:pPr>
        <w:pStyle w:val="20"/>
        <w:rPr>
          <w:rFonts w:cs="Times New Roman"/>
        </w:rPr>
      </w:pPr>
      <w:r>
        <w:rPr>
          <w:rFonts w:cs="Times New Roman"/>
        </w:rPr>
        <w:t>表 9</w:t>
      </w:r>
      <w:r>
        <w:rPr>
          <w:rFonts w:cs="Times New Roman"/>
        </w:rPr>
        <w:tab/>
      </w:r>
      <w:r>
        <w:rPr>
          <w:rFonts w:cs="Times New Roman"/>
        </w:rPr>
        <w:t>废水污染源监测内容一览表</w:t>
      </w:r>
    </w:p>
    <w:tbl>
      <w:tblPr>
        <w:tblStyle w:val="21"/>
        <w:tblW w:w="85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047"/>
        <w:gridCol w:w="1054"/>
        <w:gridCol w:w="2045"/>
        <w:gridCol w:w="960"/>
        <w:gridCol w:w="1210"/>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14" w:type="dxa"/>
            <w:vAlign w:val="center"/>
          </w:tcPr>
          <w:p>
            <w:pPr>
              <w:pStyle w:val="15"/>
              <w:rPr>
                <w:rFonts w:ascii="Times New Roman" w:hAnsi="Times New Roman" w:cs="Times New Roman"/>
                <w:b/>
                <w:sz w:val="21"/>
              </w:rPr>
            </w:pPr>
            <w:bookmarkStart w:id="3" w:name="_Hlk117173142"/>
            <w:r>
              <w:rPr>
                <w:rFonts w:ascii="Times New Roman" w:hAnsi="Times New Roman" w:cs="Times New Roman"/>
                <w:b/>
                <w:sz w:val="21"/>
              </w:rPr>
              <w:t>类型</w:t>
            </w:r>
          </w:p>
        </w:tc>
        <w:tc>
          <w:tcPr>
            <w:tcW w:w="1047" w:type="dxa"/>
            <w:vAlign w:val="center"/>
          </w:tcPr>
          <w:p>
            <w:pPr>
              <w:pStyle w:val="15"/>
              <w:spacing w:line="320" w:lineRule="exact"/>
              <w:ind w:hanging="212"/>
              <w:rPr>
                <w:rFonts w:ascii="Times New Roman" w:hAnsi="Times New Roman" w:cs="Times New Roman"/>
                <w:b/>
                <w:sz w:val="21"/>
              </w:rPr>
            </w:pPr>
            <w:r>
              <w:rPr>
                <w:rFonts w:ascii="Times New Roman" w:hAnsi="Times New Roman" w:cs="Times New Roman"/>
                <w:b/>
                <w:sz w:val="21"/>
              </w:rPr>
              <w:t xml:space="preserve">  监测点位</w:t>
            </w:r>
          </w:p>
        </w:tc>
        <w:tc>
          <w:tcPr>
            <w:tcW w:w="1054" w:type="dxa"/>
            <w:vAlign w:val="center"/>
          </w:tcPr>
          <w:p>
            <w:pPr>
              <w:pStyle w:val="15"/>
              <w:spacing w:line="320" w:lineRule="exact"/>
              <w:ind w:hanging="106"/>
              <w:rPr>
                <w:rFonts w:ascii="Times New Roman" w:hAnsi="Times New Roman" w:cs="Times New Roman"/>
                <w:b/>
                <w:sz w:val="21"/>
              </w:rPr>
            </w:pPr>
            <w:r>
              <w:rPr>
                <w:rFonts w:ascii="Times New Roman" w:hAnsi="Times New Roman" w:cs="Times New Roman"/>
                <w:b/>
                <w:sz w:val="21"/>
              </w:rPr>
              <w:t xml:space="preserve"> 排放口编号</w:t>
            </w:r>
          </w:p>
        </w:tc>
        <w:tc>
          <w:tcPr>
            <w:tcW w:w="2045" w:type="dxa"/>
            <w:vAlign w:val="center"/>
          </w:tcPr>
          <w:p>
            <w:pPr>
              <w:pStyle w:val="15"/>
              <w:rPr>
                <w:rFonts w:ascii="Times New Roman" w:hAnsi="Times New Roman" w:cs="Times New Roman"/>
                <w:b/>
                <w:sz w:val="21"/>
              </w:rPr>
            </w:pPr>
            <w:r>
              <w:rPr>
                <w:rFonts w:ascii="Times New Roman" w:hAnsi="Times New Roman" w:cs="Times New Roman"/>
                <w:b/>
                <w:sz w:val="21"/>
              </w:rPr>
              <w:t>监测项目</w:t>
            </w:r>
          </w:p>
        </w:tc>
        <w:tc>
          <w:tcPr>
            <w:tcW w:w="960" w:type="dxa"/>
            <w:vAlign w:val="center"/>
          </w:tcPr>
          <w:p>
            <w:pPr>
              <w:pStyle w:val="15"/>
              <w:spacing w:line="320" w:lineRule="exact"/>
              <w:ind w:hanging="212"/>
              <w:rPr>
                <w:rFonts w:ascii="Times New Roman" w:hAnsi="Times New Roman" w:cs="Times New Roman"/>
                <w:b/>
                <w:sz w:val="21"/>
              </w:rPr>
            </w:pPr>
            <w:r>
              <w:rPr>
                <w:rFonts w:ascii="Times New Roman" w:hAnsi="Times New Roman" w:cs="Times New Roman"/>
                <w:b/>
                <w:sz w:val="21"/>
              </w:rPr>
              <w:t xml:space="preserve">  监测频次</w:t>
            </w:r>
          </w:p>
        </w:tc>
        <w:tc>
          <w:tcPr>
            <w:tcW w:w="1210" w:type="dxa"/>
            <w:vAlign w:val="center"/>
          </w:tcPr>
          <w:p>
            <w:pPr>
              <w:pStyle w:val="15"/>
              <w:rPr>
                <w:rFonts w:ascii="Times New Roman" w:hAnsi="Times New Roman" w:cs="Times New Roman"/>
                <w:b/>
                <w:sz w:val="21"/>
              </w:rPr>
            </w:pPr>
            <w:r>
              <w:rPr>
                <w:rFonts w:ascii="Times New Roman" w:hAnsi="Times New Roman" w:cs="Times New Roman"/>
                <w:b/>
                <w:sz w:val="21"/>
              </w:rPr>
              <w:t>监测方式</w:t>
            </w:r>
          </w:p>
        </w:tc>
        <w:tc>
          <w:tcPr>
            <w:tcW w:w="1494" w:type="dxa"/>
            <w:vAlign w:val="center"/>
          </w:tcPr>
          <w:p>
            <w:pPr>
              <w:pStyle w:val="15"/>
              <w:rPr>
                <w:rFonts w:ascii="Times New Roman" w:hAnsi="Times New Roman" w:cs="Times New Roman"/>
                <w:b/>
                <w:sz w:val="21"/>
              </w:rPr>
            </w:pPr>
            <w:r>
              <w:rPr>
                <w:rFonts w:ascii="Times New Roman" w:hAnsi="Times New Roman" w:cs="Times New Roman"/>
                <w:b/>
                <w:sz w:val="21"/>
              </w:rPr>
              <w:t>标准依据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14" w:type="dxa"/>
            <w:vMerge w:val="restart"/>
            <w:vAlign w:val="center"/>
          </w:tcPr>
          <w:p>
            <w:pPr>
              <w:pStyle w:val="15"/>
              <w:rPr>
                <w:rFonts w:ascii="Times New Roman" w:hAnsi="Times New Roman" w:cs="Times New Roman"/>
                <w:sz w:val="21"/>
              </w:rPr>
            </w:pPr>
            <w:r>
              <w:rPr>
                <w:rFonts w:ascii="Times New Roman" w:hAnsi="Times New Roman" w:cs="Times New Roman"/>
                <w:sz w:val="21"/>
              </w:rPr>
              <w:t>废水</w:t>
            </w:r>
          </w:p>
        </w:tc>
        <w:tc>
          <w:tcPr>
            <w:tcW w:w="1047" w:type="dxa"/>
            <w:vMerge w:val="restart"/>
            <w:vAlign w:val="center"/>
          </w:tcPr>
          <w:p>
            <w:pPr>
              <w:pStyle w:val="15"/>
              <w:rPr>
                <w:rFonts w:ascii="Times New Roman" w:hAnsi="Times New Roman" w:cs="Times New Roman"/>
                <w:sz w:val="21"/>
              </w:rPr>
            </w:pPr>
            <w:r>
              <w:rPr>
                <w:rFonts w:ascii="Times New Roman" w:hAnsi="Times New Roman" w:cs="Times New Roman"/>
                <w:sz w:val="21"/>
              </w:rPr>
              <w:t>废水排放口</w:t>
            </w:r>
          </w:p>
        </w:tc>
        <w:tc>
          <w:tcPr>
            <w:tcW w:w="1054" w:type="dxa"/>
            <w:vMerge w:val="restart"/>
            <w:vAlign w:val="center"/>
          </w:tcPr>
          <w:p>
            <w:pPr>
              <w:pStyle w:val="15"/>
              <w:rPr>
                <w:rFonts w:ascii="Times New Roman" w:hAnsi="Times New Roman" w:cs="Times New Roman"/>
                <w:sz w:val="21"/>
              </w:rPr>
            </w:pPr>
            <w:r>
              <w:rPr>
                <w:rFonts w:ascii="Times New Roman" w:hAnsi="Times New Roman" w:cs="Times New Roman"/>
                <w:sz w:val="21"/>
              </w:rPr>
              <w:t>DW001</w:t>
            </w: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流量</w:t>
            </w:r>
          </w:p>
        </w:tc>
        <w:tc>
          <w:tcPr>
            <w:tcW w:w="960" w:type="dxa"/>
            <w:vMerge w:val="restart"/>
            <w:vAlign w:val="center"/>
          </w:tcPr>
          <w:p>
            <w:pPr>
              <w:pStyle w:val="15"/>
              <w:rPr>
                <w:rFonts w:ascii="Times New Roman" w:hAnsi="Times New Roman" w:cs="Times New Roman"/>
                <w:sz w:val="21"/>
              </w:rPr>
            </w:pPr>
            <w:r>
              <w:rPr>
                <w:rFonts w:ascii="Times New Roman" w:hAnsi="Times New Roman" w:cs="Times New Roman"/>
                <w:sz w:val="21"/>
              </w:rPr>
              <w:t>连续监测</w:t>
            </w:r>
          </w:p>
        </w:tc>
        <w:tc>
          <w:tcPr>
            <w:tcW w:w="1210" w:type="dxa"/>
            <w:vMerge w:val="restart"/>
            <w:vAlign w:val="center"/>
          </w:tcPr>
          <w:p>
            <w:pPr>
              <w:pStyle w:val="15"/>
              <w:rPr>
                <w:rFonts w:ascii="Times New Roman" w:hAnsi="Times New Roman" w:cs="Times New Roman"/>
                <w:sz w:val="21"/>
              </w:rPr>
            </w:pPr>
            <w:r>
              <w:rPr>
                <w:rFonts w:ascii="Times New Roman" w:hAnsi="Times New Roman" w:cs="Times New Roman"/>
                <w:sz w:val="21"/>
              </w:rPr>
              <w:t>自动监测</w:t>
            </w:r>
          </w:p>
        </w:tc>
        <w:tc>
          <w:tcPr>
            <w:tcW w:w="1494" w:type="dxa"/>
            <w:vMerge w:val="restart"/>
            <w:vAlign w:val="center"/>
          </w:tcPr>
          <w:p>
            <w:pPr>
              <w:pStyle w:val="15"/>
              <w:rPr>
                <w:rFonts w:ascii="Times New Roman" w:hAnsi="Times New Roman" w:cs="Times New Roman"/>
                <w:sz w:val="21"/>
              </w:rPr>
            </w:pPr>
            <w:r>
              <w:rPr>
                <w:rFonts w:ascii="Times New Roman" w:hAnsi="Times New Roman" w:cs="Times New Roman"/>
                <w:sz w:val="21"/>
              </w:rPr>
              <w:t>HJ 1105-2020</w:t>
            </w:r>
          </w:p>
          <w:p>
            <w:pPr>
              <w:pStyle w:val="15"/>
              <w:rPr>
                <w:rFonts w:ascii="Times New Roman" w:hAnsi="Times New Roman" w:eastAsia="Times New Roman" w:cs="Times New Roman"/>
                <w:sz w:val="21"/>
              </w:rPr>
            </w:pPr>
            <w:r>
              <w:rPr>
                <w:rFonts w:ascii="Times New Roman" w:hAnsi="Times New Roman" w:cs="Times New Roman"/>
                <w:sz w:val="21"/>
              </w:rPr>
              <w:t xml:space="preserve">表 </w:t>
            </w:r>
            <w:r>
              <w:rPr>
                <w:rFonts w:ascii="Times New Roman" w:hAnsi="Times New Roman" w:eastAsia="Times New Roman" w:cs="Times New Roman"/>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pH</w:t>
            </w:r>
          </w:p>
        </w:tc>
        <w:tc>
          <w:tcPr>
            <w:tcW w:w="960" w:type="dxa"/>
            <w:vMerge w:val="continue"/>
            <w:vAlign w:val="center"/>
          </w:tcPr>
          <w:p>
            <w:pPr>
              <w:pStyle w:val="15"/>
              <w:rPr>
                <w:rFonts w:ascii="Times New Roman" w:hAnsi="Times New Roman" w:cs="Times New Roman"/>
                <w:sz w:val="21"/>
              </w:rPr>
            </w:pPr>
          </w:p>
        </w:tc>
        <w:tc>
          <w:tcPr>
            <w:tcW w:w="1210" w:type="dxa"/>
            <w:vMerge w:val="continue"/>
            <w:vAlign w:val="center"/>
          </w:tcPr>
          <w:p>
            <w:pPr>
              <w:pStyle w:val="15"/>
              <w:rPr>
                <w:rFonts w:ascii="Times New Roman" w:hAnsi="Times New Roman" w:cs="Times New Roman"/>
                <w:sz w:val="21"/>
              </w:rPr>
            </w:pPr>
          </w:p>
        </w:tc>
        <w:tc>
          <w:tcPr>
            <w:tcW w:w="1494" w:type="dxa"/>
            <w:vMerge w:val="continue"/>
            <w:tcBorders>
              <w:top w:val="nil"/>
            </w:tcBorders>
            <w:vAlign w:val="center"/>
          </w:tcPr>
          <w:p>
            <w:pPr>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COD</w:t>
            </w:r>
          </w:p>
        </w:tc>
        <w:tc>
          <w:tcPr>
            <w:tcW w:w="960" w:type="dxa"/>
            <w:vMerge w:val="continue"/>
            <w:vAlign w:val="center"/>
          </w:tcPr>
          <w:p>
            <w:pPr>
              <w:pStyle w:val="15"/>
              <w:rPr>
                <w:rFonts w:ascii="Times New Roman" w:hAnsi="Times New Roman" w:cs="Times New Roman"/>
                <w:sz w:val="21"/>
              </w:rPr>
            </w:pPr>
          </w:p>
        </w:tc>
        <w:tc>
          <w:tcPr>
            <w:tcW w:w="1210" w:type="dxa"/>
            <w:vMerge w:val="continue"/>
            <w:vAlign w:val="center"/>
          </w:tcPr>
          <w:p>
            <w:pPr>
              <w:pStyle w:val="15"/>
              <w:rPr>
                <w:rFonts w:ascii="Times New Roman" w:hAnsi="Times New Roman" w:cs="Times New Roman"/>
                <w:sz w:val="21"/>
              </w:rPr>
            </w:pPr>
          </w:p>
        </w:tc>
        <w:tc>
          <w:tcPr>
            <w:tcW w:w="1494" w:type="dxa"/>
            <w:vMerge w:val="continue"/>
            <w:tcBorders>
              <w:top w:val="nil"/>
            </w:tcBorders>
            <w:vAlign w:val="center"/>
          </w:tcPr>
          <w:p>
            <w:pPr>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总余氯</w:t>
            </w:r>
          </w:p>
        </w:tc>
        <w:tc>
          <w:tcPr>
            <w:tcW w:w="960" w:type="dxa"/>
            <w:vMerge w:val="continue"/>
            <w:vAlign w:val="center"/>
          </w:tcPr>
          <w:p>
            <w:pPr>
              <w:pStyle w:val="15"/>
              <w:rPr>
                <w:rFonts w:ascii="Times New Roman" w:hAnsi="Times New Roman" w:cs="Times New Roman"/>
                <w:sz w:val="21"/>
              </w:rPr>
            </w:pPr>
          </w:p>
        </w:tc>
        <w:tc>
          <w:tcPr>
            <w:tcW w:w="1210" w:type="dxa"/>
            <w:vMerge w:val="continue"/>
            <w:vAlign w:val="center"/>
          </w:tcPr>
          <w:p>
            <w:pPr>
              <w:pStyle w:val="15"/>
              <w:rPr>
                <w:rFonts w:ascii="Times New Roman" w:hAnsi="Times New Roman" w:cs="Times New Roman"/>
                <w:sz w:val="21"/>
              </w:rPr>
            </w:pPr>
          </w:p>
        </w:tc>
        <w:tc>
          <w:tcPr>
            <w:tcW w:w="1494" w:type="dxa"/>
            <w:vMerge w:val="continue"/>
            <w:tcBorders>
              <w:top w:val="nil"/>
            </w:tcBorders>
            <w:vAlign w:val="center"/>
          </w:tcPr>
          <w:p>
            <w:pPr>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悬浮物</w:t>
            </w:r>
          </w:p>
        </w:tc>
        <w:tc>
          <w:tcPr>
            <w:tcW w:w="960" w:type="dxa"/>
            <w:vAlign w:val="center"/>
          </w:tcPr>
          <w:p>
            <w:pPr>
              <w:pStyle w:val="15"/>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周</w:t>
            </w:r>
          </w:p>
        </w:tc>
        <w:tc>
          <w:tcPr>
            <w:tcW w:w="1210" w:type="dxa"/>
            <w:vMerge w:val="restart"/>
            <w:vAlign w:val="center"/>
          </w:tcPr>
          <w:p>
            <w:pPr>
              <w:pStyle w:val="15"/>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手工监测</w:t>
            </w:r>
          </w:p>
        </w:tc>
        <w:tc>
          <w:tcPr>
            <w:tcW w:w="1494" w:type="dxa"/>
            <w:vMerge w:val="continue"/>
            <w:tcBorders>
              <w:top w:val="nil"/>
            </w:tcBorders>
            <w:vAlign w:val="center"/>
          </w:tcPr>
          <w:p>
            <w:pPr>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五日生化需氧量</w:t>
            </w:r>
          </w:p>
        </w:tc>
        <w:tc>
          <w:tcPr>
            <w:tcW w:w="960" w:type="dxa"/>
            <w:vAlign w:val="center"/>
          </w:tcPr>
          <w:p>
            <w:pPr>
              <w:pStyle w:val="15"/>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210" w:type="dxa"/>
            <w:vMerge w:val="continue"/>
            <w:vAlign w:val="center"/>
          </w:tcPr>
          <w:p>
            <w:pPr>
              <w:pStyle w:val="15"/>
              <w:rPr>
                <w:rFonts w:ascii="Times New Roman" w:hAnsi="Times New Roman" w:cs="Times New Roman"/>
                <w:sz w:val="21"/>
              </w:rPr>
            </w:pPr>
          </w:p>
        </w:tc>
        <w:tc>
          <w:tcPr>
            <w:tcW w:w="1494" w:type="dxa"/>
            <w:vMerge w:val="continue"/>
            <w:tcBorders>
              <w:top w:val="nil"/>
            </w:tcBorders>
            <w:vAlign w:val="center"/>
          </w:tcPr>
          <w:p>
            <w:pPr>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动植物油</w:t>
            </w:r>
          </w:p>
        </w:tc>
        <w:tc>
          <w:tcPr>
            <w:tcW w:w="960" w:type="dxa"/>
            <w:vAlign w:val="center"/>
          </w:tcPr>
          <w:p>
            <w:pPr>
              <w:pStyle w:val="15"/>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210" w:type="dxa"/>
            <w:vMerge w:val="continue"/>
            <w:vAlign w:val="center"/>
          </w:tcPr>
          <w:p>
            <w:pPr>
              <w:pStyle w:val="15"/>
              <w:rPr>
                <w:rFonts w:ascii="Times New Roman" w:hAnsi="Times New Roman" w:cs="Times New Roman"/>
                <w:sz w:val="21"/>
              </w:rPr>
            </w:pPr>
          </w:p>
        </w:tc>
        <w:tc>
          <w:tcPr>
            <w:tcW w:w="1494" w:type="dxa"/>
            <w:vMerge w:val="continue"/>
            <w:tcBorders>
              <w:top w:val="nil"/>
            </w:tcBorders>
            <w:vAlign w:val="center"/>
          </w:tcPr>
          <w:p>
            <w:pPr>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石油类</w:t>
            </w:r>
          </w:p>
        </w:tc>
        <w:tc>
          <w:tcPr>
            <w:tcW w:w="960" w:type="dxa"/>
            <w:vAlign w:val="center"/>
          </w:tcPr>
          <w:p>
            <w:pPr>
              <w:pStyle w:val="15"/>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210" w:type="dxa"/>
            <w:vMerge w:val="continue"/>
            <w:vAlign w:val="center"/>
          </w:tcPr>
          <w:p>
            <w:pPr>
              <w:pStyle w:val="15"/>
              <w:rPr>
                <w:rFonts w:ascii="Times New Roman" w:hAnsi="Times New Roman" w:cs="Times New Roman"/>
                <w:sz w:val="21"/>
              </w:rPr>
            </w:pPr>
          </w:p>
        </w:tc>
        <w:tc>
          <w:tcPr>
            <w:tcW w:w="1494" w:type="dxa"/>
            <w:vMerge w:val="continue"/>
            <w:tcBorders>
              <w:top w:val="nil"/>
            </w:tcBorders>
            <w:vAlign w:val="center"/>
          </w:tcPr>
          <w:p>
            <w:pPr>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阴离子表面活性剂</w:t>
            </w:r>
          </w:p>
        </w:tc>
        <w:tc>
          <w:tcPr>
            <w:tcW w:w="960" w:type="dxa"/>
            <w:vAlign w:val="center"/>
          </w:tcPr>
          <w:p>
            <w:pPr>
              <w:pStyle w:val="15"/>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210" w:type="dxa"/>
            <w:vMerge w:val="continue"/>
            <w:vAlign w:val="center"/>
          </w:tcPr>
          <w:p>
            <w:pPr>
              <w:pStyle w:val="15"/>
              <w:rPr>
                <w:rFonts w:ascii="Times New Roman" w:hAnsi="Times New Roman" w:cs="Times New Roman"/>
                <w:sz w:val="21"/>
              </w:rPr>
            </w:pPr>
          </w:p>
        </w:tc>
        <w:tc>
          <w:tcPr>
            <w:tcW w:w="1494" w:type="dxa"/>
            <w:vMerge w:val="continue"/>
            <w:tcBorders>
              <w:top w:val="nil"/>
            </w:tcBorders>
            <w:vAlign w:val="center"/>
          </w:tcPr>
          <w:p>
            <w:pPr>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挥发酚</w:t>
            </w:r>
          </w:p>
        </w:tc>
        <w:tc>
          <w:tcPr>
            <w:tcW w:w="960" w:type="dxa"/>
            <w:vAlign w:val="center"/>
          </w:tcPr>
          <w:p>
            <w:pPr>
              <w:pStyle w:val="15"/>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210" w:type="dxa"/>
            <w:vMerge w:val="continue"/>
            <w:vAlign w:val="center"/>
          </w:tcPr>
          <w:p>
            <w:pPr>
              <w:pStyle w:val="15"/>
              <w:rPr>
                <w:rFonts w:ascii="Times New Roman" w:hAnsi="Times New Roman" w:cs="Times New Roman"/>
                <w:sz w:val="21"/>
              </w:rPr>
            </w:pPr>
          </w:p>
        </w:tc>
        <w:tc>
          <w:tcPr>
            <w:tcW w:w="1494" w:type="dxa"/>
            <w:vMerge w:val="continue"/>
            <w:tcBorders>
              <w:top w:val="nil"/>
            </w:tcBorders>
            <w:vAlign w:val="center"/>
          </w:tcPr>
          <w:p>
            <w:pPr>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总氰化物</w:t>
            </w:r>
          </w:p>
        </w:tc>
        <w:tc>
          <w:tcPr>
            <w:tcW w:w="960" w:type="dxa"/>
            <w:vAlign w:val="center"/>
          </w:tcPr>
          <w:p>
            <w:pPr>
              <w:pStyle w:val="15"/>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210" w:type="dxa"/>
            <w:vMerge w:val="continue"/>
            <w:vAlign w:val="center"/>
          </w:tcPr>
          <w:p>
            <w:pPr>
              <w:pStyle w:val="15"/>
              <w:rPr>
                <w:rFonts w:ascii="Times New Roman" w:hAnsi="Times New Roman" w:cs="Times New Roman"/>
                <w:sz w:val="21"/>
              </w:rPr>
            </w:pPr>
          </w:p>
        </w:tc>
        <w:tc>
          <w:tcPr>
            <w:tcW w:w="1494" w:type="dxa"/>
            <w:vMerge w:val="continue"/>
            <w:tcBorders>
              <w:top w:val="nil"/>
            </w:tcBorders>
            <w:vAlign w:val="center"/>
          </w:tcPr>
          <w:p>
            <w:pPr>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14" w:type="dxa"/>
            <w:vMerge w:val="continue"/>
            <w:tcBorders>
              <w:top w:val="nil"/>
            </w:tcBorders>
            <w:vAlign w:val="center"/>
          </w:tcPr>
          <w:p>
            <w:pPr>
              <w:jc w:val="center"/>
              <w:rPr>
                <w:rFonts w:ascii="Times New Roman" w:hAnsi="Times New Roman" w:cs="Times New Roman"/>
                <w:sz w:val="2"/>
                <w:szCs w:val="2"/>
              </w:rPr>
            </w:pPr>
          </w:p>
        </w:tc>
        <w:tc>
          <w:tcPr>
            <w:tcW w:w="1047" w:type="dxa"/>
            <w:vMerge w:val="continue"/>
            <w:tcBorders>
              <w:top w:val="nil"/>
            </w:tcBorders>
            <w:vAlign w:val="center"/>
          </w:tcPr>
          <w:p>
            <w:pPr>
              <w:jc w:val="center"/>
              <w:rPr>
                <w:rFonts w:ascii="Times New Roman" w:hAnsi="Times New Roman" w:cs="Times New Roman"/>
                <w:sz w:val="2"/>
                <w:szCs w:val="2"/>
              </w:rPr>
            </w:pPr>
          </w:p>
        </w:tc>
        <w:tc>
          <w:tcPr>
            <w:tcW w:w="1054" w:type="dxa"/>
            <w:vMerge w:val="continue"/>
            <w:tcBorders>
              <w:top w:val="nil"/>
            </w:tcBorders>
            <w:vAlign w:val="center"/>
          </w:tcPr>
          <w:p>
            <w:pPr>
              <w:jc w:val="center"/>
              <w:rPr>
                <w:rFonts w:ascii="Times New Roman" w:hAnsi="Times New Roman" w:cs="Times New Roman"/>
                <w:sz w:val="2"/>
                <w:szCs w:val="2"/>
              </w:rPr>
            </w:pPr>
          </w:p>
        </w:tc>
        <w:tc>
          <w:tcPr>
            <w:tcW w:w="2045" w:type="dxa"/>
            <w:vAlign w:val="center"/>
          </w:tcPr>
          <w:p>
            <w:pPr>
              <w:pStyle w:val="15"/>
              <w:rPr>
                <w:rFonts w:ascii="Times New Roman" w:hAnsi="Times New Roman" w:cs="Times New Roman"/>
                <w:sz w:val="21"/>
              </w:rPr>
            </w:pPr>
            <w:r>
              <w:rPr>
                <w:rFonts w:ascii="Times New Roman" w:hAnsi="Times New Roman" w:cs="Times New Roman"/>
                <w:sz w:val="21"/>
              </w:rPr>
              <w:t>粪大肠菌群数</w:t>
            </w:r>
          </w:p>
        </w:tc>
        <w:tc>
          <w:tcPr>
            <w:tcW w:w="960" w:type="dxa"/>
            <w:vAlign w:val="center"/>
          </w:tcPr>
          <w:p>
            <w:pPr>
              <w:pStyle w:val="15"/>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月</w:t>
            </w:r>
          </w:p>
        </w:tc>
        <w:tc>
          <w:tcPr>
            <w:tcW w:w="1210" w:type="dxa"/>
            <w:vMerge w:val="continue"/>
            <w:vAlign w:val="center"/>
          </w:tcPr>
          <w:p>
            <w:pPr>
              <w:pStyle w:val="15"/>
              <w:rPr>
                <w:rFonts w:ascii="Times New Roman" w:hAnsi="Times New Roman" w:cs="Times New Roman"/>
                <w:sz w:val="21"/>
              </w:rPr>
            </w:pPr>
          </w:p>
        </w:tc>
        <w:tc>
          <w:tcPr>
            <w:tcW w:w="1494" w:type="dxa"/>
            <w:vMerge w:val="continue"/>
            <w:tcBorders>
              <w:top w:val="nil"/>
            </w:tcBorders>
            <w:vAlign w:val="center"/>
          </w:tcPr>
          <w:p>
            <w:pPr>
              <w:jc w:val="center"/>
              <w:rPr>
                <w:rFonts w:ascii="Times New Roman" w:hAnsi="Times New Roman" w:cs="Times New Roman"/>
                <w:sz w:val="2"/>
                <w:szCs w:val="2"/>
              </w:rPr>
            </w:pPr>
          </w:p>
        </w:tc>
      </w:tr>
      <w:bookmarkEnd w:id="3"/>
    </w:tbl>
    <w:p>
      <w:pPr>
        <w:pStyle w:val="2"/>
        <w:ind w:firstLine="480"/>
        <w:rPr>
          <w:rFonts w:ascii="Times New Roman" w:hAnsi="Times New Roman" w:cs="Times New Roman"/>
        </w:rPr>
      </w:pPr>
      <w:r>
        <w:rPr>
          <w:rFonts w:ascii="Times New Roman" w:hAnsi="Times New Roman" w:cs="Times New Roman"/>
        </w:rPr>
        <w:t>2、废水污染物监测方法及依据情况见表 10 和表 11。</w:t>
      </w:r>
    </w:p>
    <w:p>
      <w:pPr>
        <w:pStyle w:val="2"/>
        <w:ind w:firstLine="480"/>
        <w:rPr>
          <w:rFonts w:ascii="Times New Roman" w:hAnsi="Times New Roman" w:cs="Times New Roman"/>
        </w:rPr>
      </w:pPr>
      <w:r>
        <w:rPr>
          <w:rFonts w:ascii="Times New Roman" w:hAnsi="Times New Roman" w:cs="Times New Roman"/>
        </w:rPr>
        <w:t>监测项目具体监测分析方法见表 10 和表 11，若监测项目采用的分析方法未明确采样及样品保存方法，则按《污水监测技术规范》（HJ 91.1-2019）附录 A 执行。</w:t>
      </w:r>
    </w:p>
    <w:p>
      <w:pPr>
        <w:pStyle w:val="20"/>
        <w:rPr>
          <w:rFonts w:cs="Times New Roman"/>
        </w:rPr>
      </w:pPr>
      <w:r>
        <w:rPr>
          <w:rFonts w:cs="Times New Roman"/>
        </w:rPr>
        <w:t>表 10</w:t>
      </w:r>
      <w:r>
        <w:rPr>
          <w:rFonts w:cs="Times New Roman"/>
        </w:rPr>
        <w:tab/>
      </w:r>
      <w:r>
        <w:rPr>
          <w:rFonts w:cs="Times New Roman"/>
        </w:rPr>
        <w:t>废水污染源手工监测方法及依据及一览表</w:t>
      </w:r>
    </w:p>
    <w:tbl>
      <w:tblPr>
        <w:tblStyle w:val="21"/>
        <w:tblW w:w="8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0"/>
        <w:gridCol w:w="1372"/>
        <w:gridCol w:w="4756"/>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0" w:type="auto"/>
            <w:vAlign w:val="center"/>
          </w:tcPr>
          <w:p>
            <w:pPr>
              <w:pStyle w:val="15"/>
              <w:spacing w:line="320" w:lineRule="exact"/>
              <w:contextualSpacing/>
              <w:rPr>
                <w:rFonts w:ascii="Times New Roman" w:hAnsi="Times New Roman" w:cs="Times New Roman"/>
                <w:b/>
                <w:sz w:val="21"/>
              </w:rPr>
            </w:pPr>
            <w:r>
              <w:rPr>
                <w:rFonts w:ascii="Times New Roman" w:hAnsi="Times New Roman" w:cs="Times New Roman"/>
                <w:b/>
                <w:sz w:val="21"/>
              </w:rPr>
              <w:t>监测点位</w:t>
            </w:r>
          </w:p>
        </w:tc>
        <w:tc>
          <w:tcPr>
            <w:tcW w:w="0" w:type="auto"/>
            <w:vAlign w:val="center"/>
          </w:tcPr>
          <w:p>
            <w:pPr>
              <w:pStyle w:val="15"/>
              <w:contextualSpacing/>
              <w:rPr>
                <w:rFonts w:ascii="Times New Roman" w:hAnsi="Times New Roman" w:cs="Times New Roman"/>
                <w:b/>
                <w:sz w:val="21"/>
              </w:rPr>
            </w:pPr>
            <w:r>
              <w:rPr>
                <w:rFonts w:ascii="Times New Roman" w:hAnsi="Times New Roman" w:cs="Times New Roman"/>
                <w:b/>
                <w:sz w:val="21"/>
              </w:rPr>
              <w:t>监测项目</w:t>
            </w:r>
          </w:p>
        </w:tc>
        <w:tc>
          <w:tcPr>
            <w:tcW w:w="4756" w:type="dxa"/>
            <w:vAlign w:val="center"/>
          </w:tcPr>
          <w:p>
            <w:pPr>
              <w:pStyle w:val="15"/>
              <w:contextualSpacing/>
              <w:rPr>
                <w:rFonts w:ascii="Times New Roman" w:hAnsi="Times New Roman" w:cs="Times New Roman"/>
                <w:b/>
                <w:sz w:val="21"/>
              </w:rPr>
            </w:pPr>
            <w:r>
              <w:rPr>
                <w:rFonts w:ascii="Times New Roman" w:hAnsi="Times New Roman" w:cs="Times New Roman"/>
                <w:b/>
                <w:sz w:val="21"/>
              </w:rPr>
              <w:t>监测方法及依据</w:t>
            </w:r>
          </w:p>
        </w:tc>
        <w:tc>
          <w:tcPr>
            <w:tcW w:w="1394" w:type="dxa"/>
            <w:vAlign w:val="center"/>
          </w:tcPr>
          <w:p>
            <w:pPr>
              <w:pStyle w:val="15"/>
              <w:contextualSpacing/>
              <w:rPr>
                <w:rFonts w:ascii="Times New Roman" w:hAnsi="Times New Roman" w:cs="Times New Roman"/>
                <w:b/>
                <w:sz w:val="21"/>
              </w:rPr>
            </w:pPr>
            <w:r>
              <w:rPr>
                <w:rFonts w:ascii="Times New Roman" w:hAnsi="Times New Roman"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0" w:type="auto"/>
            <w:vMerge w:val="restart"/>
            <w:tcBorders>
              <w:top w:val="nil"/>
            </w:tcBorders>
            <w:vAlign w:val="center"/>
          </w:tcPr>
          <w:p>
            <w:pPr>
              <w:contextualSpacing/>
              <w:jc w:val="center"/>
              <w:rPr>
                <w:rFonts w:ascii="Times New Roman" w:hAnsi="Times New Roman" w:cs="Times New Roman"/>
                <w:sz w:val="2"/>
                <w:szCs w:val="2"/>
              </w:rPr>
            </w:pPr>
          </w:p>
        </w:tc>
        <w:tc>
          <w:tcPr>
            <w:tcW w:w="0" w:type="auto"/>
            <w:vAlign w:val="center"/>
          </w:tcPr>
          <w:p>
            <w:pPr>
              <w:pStyle w:val="15"/>
              <w:contextualSpacing/>
              <w:rPr>
                <w:rFonts w:ascii="Times New Roman" w:hAnsi="Times New Roman" w:cs="Times New Roman"/>
                <w:sz w:val="21"/>
              </w:rPr>
            </w:pPr>
            <w:r>
              <w:rPr>
                <w:rFonts w:ascii="Times New Roman" w:hAnsi="Times New Roman" w:cs="Times New Roman"/>
                <w:sz w:val="21"/>
              </w:rPr>
              <w:t>悬浮物</w:t>
            </w:r>
          </w:p>
        </w:tc>
        <w:tc>
          <w:tcPr>
            <w:tcW w:w="4756" w:type="dxa"/>
            <w:vAlign w:val="center"/>
          </w:tcPr>
          <w:p>
            <w:pPr>
              <w:pStyle w:val="15"/>
              <w:contextualSpacing/>
              <w:rPr>
                <w:rFonts w:ascii="Times New Roman" w:hAnsi="Times New Roman" w:eastAsia="Times New Roman" w:cs="Times New Roman"/>
                <w:sz w:val="21"/>
              </w:rPr>
            </w:pPr>
            <w:r>
              <w:rPr>
                <w:rFonts w:ascii="Times New Roman" w:hAnsi="Times New Roman" w:cs="Times New Roman"/>
                <w:sz w:val="21"/>
              </w:rPr>
              <w:t xml:space="preserve">水质悬浮物的测定重量法 </w:t>
            </w:r>
            <w:r>
              <w:rPr>
                <w:rFonts w:ascii="Times New Roman" w:hAnsi="Times New Roman" w:eastAsia="Times New Roman" w:cs="Times New Roman"/>
                <w:sz w:val="21"/>
              </w:rPr>
              <w:t>GB 11901-1989</w:t>
            </w:r>
          </w:p>
        </w:tc>
        <w:tc>
          <w:tcPr>
            <w:tcW w:w="1394" w:type="dxa"/>
            <w:vAlign w:val="center"/>
          </w:tcPr>
          <w:p>
            <w:pPr>
              <w:contextualSpacing/>
              <w:rPr>
                <w:rFonts w:ascii="Times New Roman" w:hAnsi="Times New Roman" w:cs="Times New Roman"/>
                <w:sz w:val="21"/>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0" w:type="auto"/>
            <w:vMerge w:val="continue"/>
            <w:tcBorders>
              <w:top w:val="nil"/>
            </w:tcBorders>
            <w:vAlign w:val="center"/>
          </w:tcPr>
          <w:p>
            <w:pPr>
              <w:contextualSpacing/>
              <w:jc w:val="center"/>
              <w:rPr>
                <w:rFonts w:ascii="Times New Roman" w:hAnsi="Times New Roman" w:cs="Times New Roman"/>
                <w:sz w:val="2"/>
                <w:szCs w:val="2"/>
              </w:rPr>
            </w:pPr>
          </w:p>
        </w:tc>
        <w:tc>
          <w:tcPr>
            <w:tcW w:w="0" w:type="auto"/>
            <w:vAlign w:val="center"/>
          </w:tcPr>
          <w:p>
            <w:pPr>
              <w:pStyle w:val="15"/>
              <w:contextualSpacing/>
              <w:rPr>
                <w:rFonts w:ascii="Times New Roman" w:hAnsi="Times New Roman" w:cs="Times New Roman"/>
                <w:sz w:val="21"/>
              </w:rPr>
            </w:pPr>
            <w:r>
              <w:rPr>
                <w:rFonts w:ascii="Times New Roman" w:hAnsi="Times New Roman" w:cs="Times New Roman"/>
                <w:sz w:val="21"/>
              </w:rPr>
              <w:t>五日生化需氧量</w:t>
            </w:r>
          </w:p>
        </w:tc>
        <w:tc>
          <w:tcPr>
            <w:tcW w:w="4756" w:type="dxa"/>
            <w:vAlign w:val="center"/>
          </w:tcPr>
          <w:p>
            <w:pPr>
              <w:pStyle w:val="15"/>
              <w:contextualSpacing/>
              <w:rPr>
                <w:rFonts w:ascii="Times New Roman" w:hAnsi="Times New Roman" w:eastAsia="Times New Roman" w:cs="Times New Roman"/>
                <w:sz w:val="21"/>
              </w:rPr>
            </w:pPr>
            <w:r>
              <w:rPr>
                <w:rFonts w:ascii="Times New Roman" w:hAnsi="Times New Roman" w:cs="Times New Roman"/>
                <w:sz w:val="21"/>
              </w:rPr>
              <w:t>水质五日生化需氧量（</w:t>
            </w:r>
            <w:r>
              <w:rPr>
                <w:rFonts w:ascii="Times New Roman" w:hAnsi="Times New Roman" w:eastAsia="Times New Roman" w:cs="Times New Roman"/>
                <w:sz w:val="21"/>
              </w:rPr>
              <w:t>BOD5</w:t>
            </w:r>
            <w:r>
              <w:rPr>
                <w:rFonts w:ascii="Times New Roman" w:hAnsi="Times New Roman" w:cs="Times New Roman"/>
                <w:sz w:val="21"/>
              </w:rPr>
              <w:t xml:space="preserve">）的测定稀释与接种法 </w:t>
            </w:r>
            <w:r>
              <w:rPr>
                <w:rFonts w:ascii="Times New Roman" w:hAnsi="Times New Roman" w:eastAsia="Times New Roman" w:cs="Times New Roman"/>
                <w:sz w:val="21"/>
              </w:rPr>
              <w:t>HJ 505-2009</w:t>
            </w:r>
          </w:p>
        </w:tc>
        <w:tc>
          <w:tcPr>
            <w:tcW w:w="1394" w:type="dxa"/>
            <w:vAlign w:val="center"/>
          </w:tcPr>
          <w:p>
            <w:pPr>
              <w:contextualSpacing/>
              <w:rPr>
                <w:rFonts w:ascii="Times New Roman" w:hAnsi="Times New Roman" w:cs="Times New Roman"/>
                <w:sz w:val="21"/>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0" w:type="auto"/>
            <w:vMerge w:val="continue"/>
            <w:tcBorders>
              <w:top w:val="nil"/>
            </w:tcBorders>
            <w:vAlign w:val="center"/>
          </w:tcPr>
          <w:p>
            <w:pPr>
              <w:contextualSpacing/>
              <w:jc w:val="center"/>
              <w:rPr>
                <w:rFonts w:ascii="Times New Roman" w:hAnsi="Times New Roman" w:cs="Times New Roman"/>
                <w:sz w:val="2"/>
                <w:szCs w:val="2"/>
              </w:rPr>
            </w:pPr>
          </w:p>
        </w:tc>
        <w:tc>
          <w:tcPr>
            <w:tcW w:w="0" w:type="auto"/>
            <w:vAlign w:val="center"/>
          </w:tcPr>
          <w:p>
            <w:pPr>
              <w:pStyle w:val="15"/>
              <w:spacing w:before="12"/>
              <w:contextualSpacing/>
              <w:rPr>
                <w:rFonts w:ascii="Times New Roman" w:hAnsi="Times New Roman" w:cs="Times New Roman"/>
                <w:b/>
                <w:sz w:val="15"/>
              </w:rPr>
            </w:pPr>
          </w:p>
          <w:p>
            <w:pPr>
              <w:pStyle w:val="15"/>
              <w:contextualSpacing/>
              <w:rPr>
                <w:rFonts w:ascii="Times New Roman" w:hAnsi="Times New Roman" w:cs="Times New Roman"/>
                <w:sz w:val="21"/>
              </w:rPr>
            </w:pPr>
            <w:r>
              <w:rPr>
                <w:rFonts w:ascii="Times New Roman" w:hAnsi="Times New Roman" w:cs="Times New Roman"/>
                <w:sz w:val="21"/>
              </w:rPr>
              <w:t>动植物油</w:t>
            </w:r>
          </w:p>
        </w:tc>
        <w:tc>
          <w:tcPr>
            <w:tcW w:w="4756" w:type="dxa"/>
            <w:vAlign w:val="center"/>
          </w:tcPr>
          <w:p>
            <w:pPr>
              <w:pStyle w:val="15"/>
              <w:spacing w:before="44"/>
              <w:contextualSpacing/>
              <w:rPr>
                <w:rFonts w:ascii="Times New Roman" w:hAnsi="Times New Roman" w:cs="Times New Roman"/>
                <w:sz w:val="21"/>
              </w:rPr>
            </w:pPr>
            <w:r>
              <w:rPr>
                <w:rFonts w:ascii="Times New Roman" w:hAnsi="Times New Roman" w:cs="Times New Roman"/>
                <w:sz w:val="21"/>
              </w:rPr>
              <w:t>水质石油类和动植物油类的测定红外分光光度法</w:t>
            </w:r>
          </w:p>
          <w:p>
            <w:pPr>
              <w:pStyle w:val="15"/>
              <w:spacing w:before="66" w:line="238" w:lineRule="exact"/>
              <w:contextualSpacing/>
              <w:rPr>
                <w:rFonts w:ascii="Times New Roman" w:hAnsi="Times New Roman" w:cs="Times New Roman"/>
                <w:sz w:val="21"/>
              </w:rPr>
            </w:pPr>
            <w:r>
              <w:rPr>
                <w:rFonts w:ascii="Times New Roman" w:hAnsi="Times New Roman" w:cs="Times New Roman"/>
                <w:sz w:val="21"/>
              </w:rPr>
              <w:t>HJ 637-2018</w:t>
            </w:r>
          </w:p>
        </w:tc>
        <w:tc>
          <w:tcPr>
            <w:tcW w:w="1394" w:type="dxa"/>
            <w:vAlign w:val="center"/>
          </w:tcPr>
          <w:p>
            <w:pPr>
              <w:contextualSpacing/>
              <w:rPr>
                <w:rFonts w:ascii="Times New Roman" w:hAnsi="Times New Roman" w:cs="Times New Roman"/>
                <w:sz w:val="21"/>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0" w:type="auto"/>
            <w:vMerge w:val="continue"/>
            <w:tcBorders>
              <w:top w:val="nil"/>
            </w:tcBorders>
            <w:vAlign w:val="center"/>
          </w:tcPr>
          <w:p>
            <w:pPr>
              <w:contextualSpacing/>
              <w:jc w:val="center"/>
              <w:rPr>
                <w:rFonts w:ascii="Times New Roman" w:hAnsi="Times New Roman" w:cs="Times New Roman"/>
                <w:sz w:val="2"/>
                <w:szCs w:val="2"/>
              </w:rPr>
            </w:pPr>
          </w:p>
        </w:tc>
        <w:tc>
          <w:tcPr>
            <w:tcW w:w="0" w:type="auto"/>
            <w:vAlign w:val="center"/>
          </w:tcPr>
          <w:p>
            <w:pPr>
              <w:pStyle w:val="15"/>
              <w:spacing w:before="3"/>
              <w:contextualSpacing/>
              <w:rPr>
                <w:rFonts w:ascii="Times New Roman" w:hAnsi="Times New Roman" w:cs="Times New Roman"/>
                <w:b/>
                <w:sz w:val="16"/>
              </w:rPr>
            </w:pPr>
          </w:p>
          <w:p>
            <w:pPr>
              <w:pStyle w:val="15"/>
              <w:contextualSpacing/>
              <w:rPr>
                <w:rFonts w:ascii="Times New Roman" w:hAnsi="Times New Roman" w:cs="Times New Roman"/>
                <w:sz w:val="21"/>
              </w:rPr>
            </w:pPr>
            <w:r>
              <w:rPr>
                <w:rFonts w:ascii="Times New Roman" w:hAnsi="Times New Roman" w:cs="Times New Roman"/>
                <w:sz w:val="21"/>
              </w:rPr>
              <w:t>石油类</w:t>
            </w:r>
          </w:p>
        </w:tc>
        <w:tc>
          <w:tcPr>
            <w:tcW w:w="4756" w:type="dxa"/>
            <w:vAlign w:val="center"/>
          </w:tcPr>
          <w:p>
            <w:pPr>
              <w:pStyle w:val="15"/>
              <w:spacing w:before="46"/>
              <w:contextualSpacing/>
              <w:rPr>
                <w:rFonts w:ascii="Times New Roman" w:hAnsi="Times New Roman" w:cs="Times New Roman"/>
                <w:sz w:val="21"/>
              </w:rPr>
            </w:pPr>
            <w:r>
              <w:rPr>
                <w:rFonts w:ascii="Times New Roman" w:hAnsi="Times New Roman" w:cs="Times New Roman"/>
                <w:sz w:val="21"/>
              </w:rPr>
              <w:t>水质石油类和动植物油类的测定红外分光光度法</w:t>
            </w:r>
          </w:p>
          <w:p>
            <w:pPr>
              <w:pStyle w:val="15"/>
              <w:spacing w:before="67" w:line="238" w:lineRule="exact"/>
              <w:contextualSpacing/>
              <w:rPr>
                <w:rFonts w:ascii="Times New Roman" w:hAnsi="Times New Roman" w:cs="Times New Roman"/>
                <w:sz w:val="21"/>
              </w:rPr>
            </w:pPr>
            <w:r>
              <w:rPr>
                <w:rFonts w:ascii="Times New Roman" w:hAnsi="Times New Roman" w:cs="Times New Roman"/>
                <w:sz w:val="21"/>
              </w:rPr>
              <w:t>HJ637-2018</w:t>
            </w:r>
          </w:p>
        </w:tc>
        <w:tc>
          <w:tcPr>
            <w:tcW w:w="1394" w:type="dxa"/>
            <w:vAlign w:val="center"/>
          </w:tcPr>
          <w:p>
            <w:pPr>
              <w:contextualSpacing/>
              <w:rPr>
                <w:rFonts w:ascii="Times New Roman" w:hAnsi="Times New Roman" w:cs="Times New Roman"/>
                <w:sz w:val="21"/>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0" w:type="auto"/>
            <w:vMerge w:val="continue"/>
            <w:tcBorders>
              <w:top w:val="nil"/>
            </w:tcBorders>
            <w:vAlign w:val="center"/>
          </w:tcPr>
          <w:p>
            <w:pPr>
              <w:contextualSpacing/>
              <w:jc w:val="center"/>
              <w:rPr>
                <w:rFonts w:ascii="Times New Roman" w:hAnsi="Times New Roman" w:cs="Times New Roman"/>
                <w:sz w:val="2"/>
                <w:szCs w:val="2"/>
              </w:rPr>
            </w:pPr>
          </w:p>
        </w:tc>
        <w:tc>
          <w:tcPr>
            <w:tcW w:w="0" w:type="auto"/>
            <w:vAlign w:val="center"/>
          </w:tcPr>
          <w:p>
            <w:pPr>
              <w:pStyle w:val="15"/>
              <w:spacing w:line="320" w:lineRule="exact"/>
              <w:ind w:hanging="629"/>
              <w:contextualSpacing/>
              <w:rPr>
                <w:rFonts w:ascii="Times New Roman" w:hAnsi="Times New Roman" w:cs="Times New Roman"/>
                <w:sz w:val="21"/>
              </w:rPr>
            </w:pPr>
            <w:r>
              <w:rPr>
                <w:rFonts w:ascii="Times New Roman" w:hAnsi="Times New Roman" w:cs="Times New Roman"/>
                <w:sz w:val="21"/>
              </w:rPr>
              <w:t>阴离子表面活性剂</w:t>
            </w:r>
          </w:p>
        </w:tc>
        <w:tc>
          <w:tcPr>
            <w:tcW w:w="4756" w:type="dxa"/>
            <w:vAlign w:val="center"/>
          </w:tcPr>
          <w:p>
            <w:pPr>
              <w:pStyle w:val="15"/>
              <w:contextualSpacing/>
              <w:rPr>
                <w:rFonts w:ascii="Times New Roman" w:hAnsi="Times New Roman" w:eastAsia="Times New Roman" w:cs="Times New Roman"/>
                <w:sz w:val="21"/>
              </w:rPr>
            </w:pPr>
            <w:r>
              <w:rPr>
                <w:rFonts w:ascii="Times New Roman" w:hAnsi="Times New Roman" w:cs="Times New Roman"/>
                <w:sz w:val="21"/>
              </w:rPr>
              <w:t>水质阴离子表面活性剂的测定流动注射</w:t>
            </w:r>
            <w:r>
              <w:rPr>
                <w:rFonts w:ascii="Times New Roman" w:hAnsi="Times New Roman" w:eastAsia="Times New Roman" w:cs="Times New Roman"/>
                <w:sz w:val="21"/>
              </w:rPr>
              <w:t>-</w:t>
            </w:r>
            <w:r>
              <w:rPr>
                <w:rFonts w:ascii="Times New Roman" w:hAnsi="Times New Roman" w:cs="Times New Roman"/>
                <w:sz w:val="21"/>
              </w:rPr>
              <w:t>亚甲基蓝分光光度法</w:t>
            </w:r>
            <w:r>
              <w:rPr>
                <w:rFonts w:ascii="Times New Roman" w:hAnsi="Times New Roman" w:eastAsia="Times New Roman" w:cs="Times New Roman"/>
                <w:sz w:val="21"/>
              </w:rPr>
              <w:t>(HJ 826-2017)</w:t>
            </w:r>
          </w:p>
        </w:tc>
        <w:tc>
          <w:tcPr>
            <w:tcW w:w="1394" w:type="dxa"/>
            <w:vAlign w:val="center"/>
          </w:tcPr>
          <w:p>
            <w:pPr>
              <w:contextualSpacing/>
              <w:rPr>
                <w:rFonts w:ascii="Times New Roman" w:hAnsi="Times New Roman" w:cs="Times New Roman"/>
                <w:sz w:val="21"/>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0" w:type="auto"/>
            <w:vMerge w:val="continue"/>
            <w:tcBorders>
              <w:top w:val="nil"/>
            </w:tcBorders>
            <w:vAlign w:val="center"/>
          </w:tcPr>
          <w:p>
            <w:pPr>
              <w:contextualSpacing/>
              <w:jc w:val="center"/>
              <w:rPr>
                <w:rFonts w:ascii="Times New Roman" w:hAnsi="Times New Roman" w:cs="Times New Roman"/>
                <w:sz w:val="2"/>
                <w:szCs w:val="2"/>
              </w:rPr>
            </w:pPr>
          </w:p>
        </w:tc>
        <w:tc>
          <w:tcPr>
            <w:tcW w:w="0" w:type="auto"/>
            <w:vAlign w:val="center"/>
          </w:tcPr>
          <w:p>
            <w:pPr>
              <w:pStyle w:val="15"/>
              <w:spacing w:before="2"/>
              <w:contextualSpacing/>
              <w:rPr>
                <w:rFonts w:ascii="Times New Roman" w:hAnsi="Times New Roman" w:cs="Times New Roman"/>
                <w:b/>
                <w:sz w:val="16"/>
              </w:rPr>
            </w:pPr>
          </w:p>
          <w:p>
            <w:pPr>
              <w:pStyle w:val="15"/>
              <w:contextualSpacing/>
              <w:rPr>
                <w:rFonts w:ascii="Times New Roman" w:hAnsi="Times New Roman" w:cs="Times New Roman"/>
                <w:sz w:val="21"/>
              </w:rPr>
            </w:pPr>
            <w:r>
              <w:rPr>
                <w:rFonts w:ascii="Times New Roman" w:hAnsi="Times New Roman" w:cs="Times New Roman"/>
                <w:sz w:val="21"/>
              </w:rPr>
              <w:t>挥发酚</w:t>
            </w:r>
          </w:p>
        </w:tc>
        <w:tc>
          <w:tcPr>
            <w:tcW w:w="4756" w:type="dxa"/>
            <w:vAlign w:val="center"/>
          </w:tcPr>
          <w:p>
            <w:pPr>
              <w:pStyle w:val="15"/>
              <w:contextualSpacing/>
              <w:rPr>
                <w:rFonts w:ascii="Times New Roman" w:hAnsi="Times New Roman" w:eastAsia="Times New Roman" w:cs="Times New Roman"/>
                <w:sz w:val="21"/>
              </w:rPr>
            </w:pPr>
            <w:r>
              <w:rPr>
                <w:rFonts w:ascii="Times New Roman" w:hAnsi="Times New Roman" w:cs="Times New Roman"/>
                <w:sz w:val="21"/>
              </w:rPr>
              <w:t xml:space="preserve">水质挥发酚的测定 </w:t>
            </w:r>
            <w:r>
              <w:rPr>
                <w:rFonts w:ascii="Times New Roman" w:hAnsi="Times New Roman" w:eastAsia="Times New Roman" w:cs="Times New Roman"/>
                <w:sz w:val="21"/>
              </w:rPr>
              <w:t>4-</w:t>
            </w:r>
            <w:r>
              <w:rPr>
                <w:rFonts w:ascii="Times New Roman" w:hAnsi="Times New Roman" w:cs="Times New Roman"/>
                <w:sz w:val="21"/>
              </w:rPr>
              <w:t>氨基安替比林分光光度法</w:t>
            </w:r>
            <w:r>
              <w:rPr>
                <w:rFonts w:ascii="Times New Roman" w:hAnsi="Times New Roman" w:eastAsia="Times New Roman" w:cs="Times New Roman"/>
                <w:sz w:val="21"/>
              </w:rPr>
              <w:t>HJ 503-2009</w:t>
            </w:r>
          </w:p>
        </w:tc>
        <w:tc>
          <w:tcPr>
            <w:tcW w:w="1394" w:type="dxa"/>
            <w:vAlign w:val="center"/>
          </w:tcPr>
          <w:p>
            <w:pPr>
              <w:contextualSpacing/>
              <w:rPr>
                <w:rFonts w:ascii="Times New Roman" w:hAnsi="Times New Roman" w:cs="Times New Roman"/>
                <w:sz w:val="21"/>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0" w:type="auto"/>
            <w:vMerge w:val="continue"/>
            <w:tcBorders>
              <w:top w:val="nil"/>
            </w:tcBorders>
            <w:vAlign w:val="center"/>
          </w:tcPr>
          <w:p>
            <w:pPr>
              <w:contextualSpacing/>
              <w:jc w:val="center"/>
              <w:rPr>
                <w:rFonts w:ascii="Times New Roman" w:hAnsi="Times New Roman" w:cs="Times New Roman"/>
                <w:sz w:val="2"/>
                <w:szCs w:val="2"/>
              </w:rPr>
            </w:pPr>
          </w:p>
        </w:tc>
        <w:tc>
          <w:tcPr>
            <w:tcW w:w="0" w:type="auto"/>
            <w:vAlign w:val="center"/>
          </w:tcPr>
          <w:p>
            <w:pPr>
              <w:pStyle w:val="15"/>
              <w:contextualSpacing/>
              <w:rPr>
                <w:rFonts w:ascii="Times New Roman" w:hAnsi="Times New Roman" w:cs="Times New Roman"/>
                <w:b/>
                <w:sz w:val="16"/>
              </w:rPr>
            </w:pPr>
          </w:p>
          <w:p>
            <w:pPr>
              <w:pStyle w:val="15"/>
              <w:contextualSpacing/>
              <w:rPr>
                <w:rFonts w:ascii="Times New Roman" w:hAnsi="Times New Roman" w:cs="Times New Roman"/>
                <w:sz w:val="21"/>
              </w:rPr>
            </w:pPr>
            <w:r>
              <w:rPr>
                <w:rFonts w:ascii="Times New Roman" w:hAnsi="Times New Roman" w:cs="Times New Roman"/>
                <w:sz w:val="21"/>
              </w:rPr>
              <w:t>总氰化物</w:t>
            </w:r>
          </w:p>
        </w:tc>
        <w:tc>
          <w:tcPr>
            <w:tcW w:w="4756" w:type="dxa"/>
            <w:vAlign w:val="center"/>
          </w:tcPr>
          <w:p>
            <w:pPr>
              <w:pStyle w:val="15"/>
              <w:contextualSpacing/>
              <w:rPr>
                <w:rFonts w:ascii="Times New Roman" w:hAnsi="Times New Roman" w:cs="Times New Roman"/>
                <w:sz w:val="21"/>
              </w:rPr>
            </w:pPr>
            <w:r>
              <w:rPr>
                <w:rFonts w:ascii="Times New Roman" w:hAnsi="Times New Roman" w:cs="Times New Roman"/>
                <w:sz w:val="21"/>
              </w:rPr>
              <w:t>水质氰化物的测定容量法和分光光度法（</w:t>
            </w:r>
            <w:r>
              <w:rPr>
                <w:rFonts w:ascii="Times New Roman" w:hAnsi="Times New Roman" w:eastAsia="Times New Roman" w:cs="Times New Roman"/>
                <w:sz w:val="21"/>
              </w:rPr>
              <w:t>HJ 484-2009</w:t>
            </w:r>
            <w:r>
              <w:rPr>
                <w:rFonts w:ascii="Times New Roman" w:hAnsi="Times New Roman" w:cs="Times New Roman"/>
                <w:sz w:val="21"/>
              </w:rPr>
              <w:t>）</w:t>
            </w:r>
          </w:p>
        </w:tc>
        <w:tc>
          <w:tcPr>
            <w:tcW w:w="1394" w:type="dxa"/>
            <w:vAlign w:val="center"/>
          </w:tcPr>
          <w:p>
            <w:pPr>
              <w:contextualSpacing/>
              <w:rPr>
                <w:rFonts w:ascii="Times New Roman" w:hAnsi="Times New Roman" w:cs="Times New Roman"/>
                <w:sz w:val="21"/>
              </w:rPr>
            </w:pPr>
            <w:r>
              <w:rPr>
                <w:rFonts w:hint="eastAsia" w:ascii="Times New Roman" w:hAnsi="Times New Roman" w:cs="Times New Roman"/>
                <w:sz w:val="21"/>
                <w:lang w:val="en-US" w:eastAsia="zh-CN"/>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0" w:type="auto"/>
            <w:vMerge w:val="continue"/>
            <w:tcBorders>
              <w:top w:val="nil"/>
            </w:tcBorders>
            <w:vAlign w:val="center"/>
          </w:tcPr>
          <w:p>
            <w:pPr>
              <w:contextualSpacing/>
              <w:jc w:val="center"/>
              <w:rPr>
                <w:rFonts w:ascii="Times New Roman" w:hAnsi="Times New Roman" w:cs="Times New Roman"/>
                <w:sz w:val="2"/>
                <w:szCs w:val="2"/>
              </w:rPr>
            </w:pPr>
          </w:p>
        </w:tc>
        <w:tc>
          <w:tcPr>
            <w:tcW w:w="0" w:type="auto"/>
            <w:vAlign w:val="center"/>
          </w:tcPr>
          <w:p>
            <w:pPr>
              <w:pStyle w:val="15"/>
              <w:spacing w:before="85"/>
              <w:contextualSpacing/>
              <w:rPr>
                <w:rFonts w:ascii="Times New Roman" w:hAnsi="Times New Roman" w:cs="Times New Roman"/>
                <w:sz w:val="21"/>
              </w:rPr>
            </w:pPr>
            <w:r>
              <w:rPr>
                <w:rFonts w:ascii="Times New Roman" w:hAnsi="Times New Roman" w:cs="Times New Roman"/>
                <w:sz w:val="21"/>
              </w:rPr>
              <w:t>粪大肠菌群数</w:t>
            </w:r>
          </w:p>
        </w:tc>
        <w:tc>
          <w:tcPr>
            <w:tcW w:w="4756" w:type="dxa"/>
            <w:vAlign w:val="center"/>
          </w:tcPr>
          <w:p>
            <w:pPr>
              <w:pStyle w:val="15"/>
              <w:contextualSpacing/>
              <w:rPr>
                <w:rFonts w:ascii="Times New Roman" w:hAnsi="Times New Roman" w:eastAsia="Times New Roman" w:cs="Times New Roman"/>
                <w:sz w:val="21"/>
              </w:rPr>
            </w:pPr>
            <w:r>
              <w:rPr>
                <w:rFonts w:ascii="Times New Roman" w:hAnsi="Times New Roman" w:cs="Times New Roman"/>
                <w:sz w:val="21"/>
              </w:rPr>
              <w:t>水质粪大肠菌群的测定多管发酵法</w:t>
            </w:r>
            <w:r>
              <w:rPr>
                <w:rFonts w:ascii="Times New Roman" w:hAnsi="Times New Roman" w:eastAsia="Times New Roman" w:cs="Times New Roman"/>
                <w:sz w:val="21"/>
              </w:rPr>
              <w:t>HJ 347.2-2018</w:t>
            </w:r>
          </w:p>
        </w:tc>
        <w:tc>
          <w:tcPr>
            <w:tcW w:w="1394" w:type="dxa"/>
            <w:vAlign w:val="center"/>
          </w:tcPr>
          <w:p>
            <w:pPr>
              <w:spacing w:before="85"/>
              <w:contextualSpacing/>
              <w:rPr>
                <w:rFonts w:ascii="Times New Roman" w:hAnsi="Times New Roman" w:cs="Times New Roman"/>
                <w:sz w:val="21"/>
              </w:rPr>
            </w:pPr>
            <w:r>
              <w:rPr>
                <w:rFonts w:hint="eastAsia" w:ascii="Times New Roman" w:hAnsi="Times New Roman" w:cs="Times New Roman"/>
                <w:sz w:val="21"/>
                <w:lang w:val="en-US" w:eastAsia="zh-CN"/>
              </w:rPr>
              <w:t>第三方检测</w:t>
            </w:r>
          </w:p>
        </w:tc>
      </w:tr>
    </w:tbl>
    <w:p>
      <w:pPr>
        <w:pStyle w:val="20"/>
        <w:rPr>
          <w:rFonts w:cs="Times New Roman"/>
        </w:rPr>
      </w:pPr>
      <w:r>
        <w:rPr>
          <w:rFonts w:cs="Times New Roman"/>
        </w:rPr>
        <w:t>表 11</w:t>
      </w:r>
      <w:r>
        <w:rPr>
          <w:rFonts w:cs="Times New Roman"/>
        </w:rPr>
        <w:tab/>
      </w:r>
      <w:r>
        <w:rPr>
          <w:rFonts w:cs="Times New Roman"/>
        </w:rPr>
        <w:t>废水自动监测方法及依据及一览表</w:t>
      </w:r>
    </w:p>
    <w:tbl>
      <w:tblPr>
        <w:tblStyle w:val="2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1886"/>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04" w:type="dxa"/>
          </w:tcPr>
          <w:p>
            <w:pPr>
              <w:pStyle w:val="15"/>
              <w:spacing w:before="85"/>
              <w:ind w:left="280"/>
              <w:jc w:val="left"/>
              <w:rPr>
                <w:rFonts w:ascii="Times New Roman" w:hAnsi="Times New Roman" w:cs="Times New Roman"/>
                <w:b/>
                <w:sz w:val="21"/>
              </w:rPr>
            </w:pPr>
            <w:r>
              <w:rPr>
                <w:rFonts w:ascii="Times New Roman" w:hAnsi="Times New Roman" w:cs="Times New Roman"/>
                <w:b/>
                <w:sz w:val="21"/>
              </w:rPr>
              <w:t>监测点位</w:t>
            </w:r>
          </w:p>
        </w:tc>
        <w:tc>
          <w:tcPr>
            <w:tcW w:w="1886" w:type="dxa"/>
          </w:tcPr>
          <w:p>
            <w:pPr>
              <w:pStyle w:val="15"/>
              <w:spacing w:before="85"/>
              <w:rPr>
                <w:rFonts w:ascii="Times New Roman" w:hAnsi="Times New Roman" w:cs="Times New Roman"/>
                <w:b/>
                <w:sz w:val="21"/>
              </w:rPr>
            </w:pPr>
            <w:r>
              <w:rPr>
                <w:rFonts w:ascii="Times New Roman" w:hAnsi="Times New Roman" w:cs="Times New Roman"/>
                <w:b/>
                <w:sz w:val="21"/>
              </w:rPr>
              <w:t>监测项目</w:t>
            </w:r>
          </w:p>
        </w:tc>
        <w:tc>
          <w:tcPr>
            <w:tcW w:w="1985" w:type="dxa"/>
          </w:tcPr>
          <w:p>
            <w:pPr>
              <w:pStyle w:val="15"/>
              <w:rPr>
                <w:rFonts w:ascii="Times New Roman" w:hAnsi="Times New Roman" w:cs="Times New Roman"/>
                <w:b/>
                <w:sz w:val="21"/>
              </w:rPr>
            </w:pPr>
            <w:r>
              <w:rPr>
                <w:rFonts w:ascii="Times New Roman" w:hAnsi="Times New Roman" w:cs="Times New Roman"/>
                <w:b/>
                <w:sz w:val="21"/>
              </w:rPr>
              <w:t>监测方法及依据</w:t>
            </w:r>
          </w:p>
        </w:tc>
        <w:tc>
          <w:tcPr>
            <w:tcW w:w="3260" w:type="dxa"/>
          </w:tcPr>
          <w:p>
            <w:pPr>
              <w:pStyle w:val="15"/>
              <w:spacing w:before="85"/>
              <w:ind w:left="184" w:right="180"/>
              <w:rPr>
                <w:rFonts w:ascii="Times New Roman" w:hAnsi="Times New Roman" w:cs="Times New Roman"/>
                <w:b/>
                <w:sz w:val="21"/>
              </w:rPr>
            </w:pPr>
            <w:r>
              <w:rPr>
                <w:rFonts w:ascii="Times New Roman" w:hAnsi="Times New Roman"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04" w:type="dxa"/>
            <w:vMerge w:val="restart"/>
          </w:tcPr>
          <w:p>
            <w:pPr>
              <w:pStyle w:val="15"/>
              <w:jc w:val="left"/>
              <w:rPr>
                <w:rFonts w:ascii="Times New Roman" w:hAnsi="Times New Roman" w:cs="Times New Roman"/>
                <w:b/>
                <w:sz w:val="20"/>
              </w:rPr>
            </w:pPr>
          </w:p>
          <w:p>
            <w:pPr>
              <w:pStyle w:val="15"/>
              <w:jc w:val="left"/>
              <w:rPr>
                <w:rFonts w:ascii="Times New Roman" w:hAnsi="Times New Roman" w:cs="Times New Roman"/>
                <w:b/>
                <w:sz w:val="20"/>
              </w:rPr>
            </w:pPr>
          </w:p>
          <w:p>
            <w:pPr>
              <w:pStyle w:val="15"/>
              <w:spacing w:before="5"/>
              <w:jc w:val="left"/>
              <w:rPr>
                <w:rFonts w:ascii="Times New Roman" w:hAnsi="Times New Roman" w:cs="Times New Roman"/>
                <w:b/>
                <w:sz w:val="14"/>
              </w:rPr>
            </w:pPr>
          </w:p>
          <w:p>
            <w:pPr>
              <w:pStyle w:val="15"/>
              <w:ind w:left="175"/>
              <w:jc w:val="left"/>
              <w:rPr>
                <w:rFonts w:ascii="Times New Roman" w:hAnsi="Times New Roman" w:cs="Times New Roman"/>
                <w:sz w:val="21"/>
              </w:rPr>
            </w:pPr>
            <w:r>
              <w:rPr>
                <w:rFonts w:ascii="Times New Roman" w:hAnsi="Times New Roman" w:cs="Times New Roman"/>
                <w:sz w:val="21"/>
              </w:rPr>
              <w:t>废水排放口</w:t>
            </w:r>
          </w:p>
        </w:tc>
        <w:tc>
          <w:tcPr>
            <w:tcW w:w="1886" w:type="dxa"/>
            <w:vAlign w:val="center"/>
          </w:tcPr>
          <w:p>
            <w:pPr>
              <w:pStyle w:val="15"/>
              <w:rPr>
                <w:rFonts w:ascii="Times New Roman" w:hAnsi="Times New Roman" w:cs="Times New Roman"/>
                <w:sz w:val="21"/>
              </w:rPr>
            </w:pPr>
            <w:r>
              <w:rPr>
                <w:rFonts w:ascii="Times New Roman" w:hAnsi="Times New Roman" w:cs="Times New Roman"/>
                <w:sz w:val="21"/>
              </w:rPr>
              <w:t>COD</w:t>
            </w:r>
          </w:p>
        </w:tc>
        <w:tc>
          <w:tcPr>
            <w:tcW w:w="1985" w:type="dxa"/>
            <w:vAlign w:val="center"/>
          </w:tcPr>
          <w:p>
            <w:pPr>
              <w:pStyle w:val="15"/>
              <w:rPr>
                <w:rFonts w:ascii="Times New Roman" w:hAnsi="Times New Roman" w:cs="Times New Roman"/>
                <w:sz w:val="21"/>
              </w:rPr>
            </w:pPr>
            <w:r>
              <w:rPr>
                <w:rFonts w:ascii="Times New Roman" w:hAnsi="Times New Roman" w:cs="Times New Roman"/>
                <w:sz w:val="21"/>
              </w:rPr>
              <w:t>重铬酸钾法</w:t>
            </w:r>
          </w:p>
        </w:tc>
        <w:tc>
          <w:tcPr>
            <w:tcW w:w="3260" w:type="dxa"/>
            <w:vMerge w:val="restart"/>
            <w:vAlign w:val="center"/>
          </w:tcPr>
          <w:p>
            <w:pPr>
              <w:widowControl/>
              <w:kinsoku w:val="0"/>
              <w:adjustRightInd w:val="0"/>
              <w:snapToGrid w:val="0"/>
              <w:spacing w:before="67" w:line="195" w:lineRule="auto"/>
              <w:jc w:val="both"/>
              <w:textAlignment w:val="baseline"/>
              <w:rPr>
                <w:rFonts w:ascii="Times New Roman" w:hAnsi="Times New Roman" w:cs="Times New Roman" w:eastAsiaTheme="minorEastAsia"/>
                <w:sz w:val="23"/>
                <w:szCs w:val="23"/>
              </w:rPr>
            </w:pPr>
            <w:r>
              <w:rPr>
                <w:rFonts w:ascii="Times New Roman" w:hAnsi="Times New Roman" w:cs="Times New Roman" w:eastAsiaTheme="minorEastAsia"/>
                <w:sz w:val="23"/>
                <w:szCs w:val="23"/>
              </w:rPr>
              <w:t>（1）每年须进行计量检定</w:t>
            </w:r>
          </w:p>
          <w:p>
            <w:pPr>
              <w:widowControl/>
              <w:kinsoku w:val="0"/>
              <w:adjustRightInd w:val="0"/>
              <w:snapToGrid w:val="0"/>
              <w:spacing w:before="67" w:line="195" w:lineRule="auto"/>
              <w:jc w:val="both"/>
              <w:textAlignment w:val="baseline"/>
              <w:rPr>
                <w:rFonts w:ascii="Times New Roman" w:hAnsi="Times New Roman" w:cs="Times New Roman" w:eastAsiaTheme="minorEastAsia"/>
                <w:sz w:val="21"/>
              </w:rPr>
            </w:pPr>
            <w:r>
              <w:rPr>
                <w:rFonts w:ascii="Times New Roman" w:hAnsi="Times New Roman" w:cs="Times New Roman" w:eastAsiaTheme="minorEastAsia"/>
                <w:sz w:val="23"/>
                <w:szCs w:val="23"/>
              </w:rPr>
              <w:t>（2）依据《水污染源在线监测系统(COD</w:t>
            </w:r>
            <w:r>
              <w:rPr>
                <w:rFonts w:ascii="Times New Roman" w:hAnsi="Times New Roman" w:cs="Times New Roman" w:eastAsiaTheme="minorEastAsia"/>
                <w:sz w:val="23"/>
                <w:szCs w:val="23"/>
                <w:vertAlign w:val="subscript"/>
              </w:rPr>
              <w:t>cr</w:t>
            </w:r>
            <w:r>
              <w:rPr>
                <w:rFonts w:ascii="Times New Roman" w:hAnsi="Times New Roman" w:cs="Times New Roman" w:eastAsiaTheme="minorEastAsia"/>
                <w:sz w:val="23"/>
                <w:szCs w:val="23"/>
              </w:rPr>
              <w:t>、NH</w:t>
            </w:r>
            <w:r>
              <w:rPr>
                <w:rFonts w:ascii="Times New Roman" w:hAnsi="Times New Roman" w:cs="Times New Roman" w:eastAsiaTheme="minorEastAsia"/>
                <w:sz w:val="23"/>
                <w:szCs w:val="23"/>
                <w:vertAlign w:val="subscript"/>
              </w:rPr>
              <w:t>3</w:t>
            </w:r>
            <w:r>
              <w:rPr>
                <w:rFonts w:ascii="Times New Roman" w:hAnsi="Times New Roman" w:cs="Times New Roman" w:eastAsiaTheme="minorEastAsia"/>
                <w:sz w:val="23"/>
                <w:szCs w:val="23"/>
              </w:rPr>
              <w:t>-N等)运行技术规范》HJ355-2019对仪器进行运行维护。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04" w:type="dxa"/>
            <w:vMerge w:val="continue"/>
            <w:tcBorders>
              <w:top w:val="nil"/>
            </w:tcBorders>
          </w:tcPr>
          <w:p>
            <w:pPr>
              <w:rPr>
                <w:rFonts w:ascii="Times New Roman" w:hAnsi="Times New Roman" w:cs="Times New Roman"/>
                <w:sz w:val="2"/>
                <w:szCs w:val="2"/>
              </w:rPr>
            </w:pPr>
          </w:p>
        </w:tc>
        <w:tc>
          <w:tcPr>
            <w:tcW w:w="1886" w:type="dxa"/>
            <w:vAlign w:val="center"/>
          </w:tcPr>
          <w:p>
            <w:pPr>
              <w:pStyle w:val="15"/>
              <w:rPr>
                <w:rFonts w:ascii="Times New Roman" w:hAnsi="Times New Roman" w:cs="Times New Roman"/>
                <w:sz w:val="21"/>
              </w:rPr>
            </w:pPr>
            <w:r>
              <w:rPr>
                <w:rFonts w:ascii="Times New Roman" w:hAnsi="Times New Roman" w:cs="Times New Roman"/>
                <w:sz w:val="21"/>
              </w:rPr>
              <w:t>pH</w:t>
            </w:r>
          </w:p>
        </w:tc>
        <w:tc>
          <w:tcPr>
            <w:tcW w:w="1985" w:type="dxa"/>
            <w:vAlign w:val="center"/>
          </w:tcPr>
          <w:p>
            <w:pPr>
              <w:pStyle w:val="15"/>
              <w:rPr>
                <w:rFonts w:ascii="Times New Roman" w:hAnsi="Times New Roman" w:cs="Times New Roman"/>
                <w:sz w:val="21"/>
              </w:rPr>
            </w:pPr>
            <w:r>
              <w:rPr>
                <w:rFonts w:ascii="Times New Roman" w:hAnsi="Times New Roman" w:cs="Times New Roman"/>
                <w:sz w:val="21"/>
              </w:rPr>
              <w:t>玻璃电极法</w:t>
            </w:r>
          </w:p>
        </w:tc>
        <w:tc>
          <w:tcPr>
            <w:tcW w:w="3260" w:type="dxa"/>
            <w:vMerge w:val="continue"/>
            <w:vAlign w:val="center"/>
          </w:tcPr>
          <w:p>
            <w:pPr>
              <w:pStyle w:val="15"/>
              <w:spacing w:before="85"/>
              <w:ind w:left="186" w:right="179"/>
              <w:rPr>
                <w:rFonts w:ascii="Times New Roman" w:hAnsi="Times New Roman" w:cs="Times New Roman"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04" w:type="dxa"/>
            <w:vMerge w:val="continue"/>
            <w:tcBorders>
              <w:top w:val="nil"/>
            </w:tcBorders>
          </w:tcPr>
          <w:p>
            <w:pPr>
              <w:rPr>
                <w:rFonts w:ascii="Times New Roman" w:hAnsi="Times New Roman" w:cs="Times New Roman"/>
                <w:sz w:val="2"/>
                <w:szCs w:val="2"/>
              </w:rPr>
            </w:pPr>
          </w:p>
        </w:tc>
        <w:tc>
          <w:tcPr>
            <w:tcW w:w="1886" w:type="dxa"/>
            <w:vAlign w:val="center"/>
          </w:tcPr>
          <w:p>
            <w:pPr>
              <w:pStyle w:val="15"/>
              <w:rPr>
                <w:rFonts w:ascii="Times New Roman" w:hAnsi="Times New Roman" w:cs="Times New Roman"/>
                <w:sz w:val="21"/>
              </w:rPr>
            </w:pPr>
            <w:r>
              <w:rPr>
                <w:rFonts w:ascii="Times New Roman" w:hAnsi="Times New Roman" w:cs="Times New Roman"/>
                <w:sz w:val="21"/>
              </w:rPr>
              <w:t>总余氯</w:t>
            </w:r>
          </w:p>
        </w:tc>
        <w:tc>
          <w:tcPr>
            <w:tcW w:w="1985" w:type="dxa"/>
            <w:vAlign w:val="center"/>
          </w:tcPr>
          <w:p>
            <w:pPr>
              <w:pStyle w:val="15"/>
              <w:rPr>
                <w:rFonts w:ascii="Times New Roman" w:hAnsi="Times New Roman" w:cs="Times New Roman"/>
                <w:sz w:val="21"/>
              </w:rPr>
            </w:pPr>
            <w:r>
              <w:rPr>
                <w:rFonts w:ascii="Times New Roman" w:hAnsi="Times New Roman" w:cs="Times New Roman"/>
                <w:sz w:val="21"/>
              </w:rPr>
              <w:t>膜电极法</w:t>
            </w:r>
          </w:p>
        </w:tc>
        <w:tc>
          <w:tcPr>
            <w:tcW w:w="3260" w:type="dxa"/>
            <w:vAlign w:val="center"/>
          </w:tcPr>
          <w:p>
            <w:pPr>
              <w:pStyle w:val="15"/>
              <w:spacing w:before="87"/>
              <w:ind w:left="186" w:right="179"/>
              <w:rPr>
                <w:rFonts w:ascii="Times New Roman" w:hAnsi="Times New Roman" w:cs="Times New Roman" w:eastAsiaTheme="minorEastAsia"/>
                <w:sz w:val="21"/>
              </w:rPr>
            </w:pPr>
            <w:r>
              <w:rPr>
                <w:rFonts w:ascii="Times New Roman" w:hAnsi="Times New Roman" w:cs="Times New Roman" w:eastAsiaTheme="minorEastAsia"/>
                <w:sz w:val="23"/>
                <w:szCs w:val="23"/>
              </w:rPr>
              <w:t>人工使用快速试纸/使液进行运行维护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04" w:type="dxa"/>
            <w:vMerge w:val="continue"/>
            <w:tcBorders>
              <w:top w:val="nil"/>
            </w:tcBorders>
          </w:tcPr>
          <w:p>
            <w:pPr>
              <w:rPr>
                <w:rFonts w:ascii="Times New Roman" w:hAnsi="Times New Roman" w:cs="Times New Roman"/>
                <w:sz w:val="2"/>
                <w:szCs w:val="2"/>
              </w:rPr>
            </w:pPr>
          </w:p>
        </w:tc>
        <w:tc>
          <w:tcPr>
            <w:tcW w:w="1886" w:type="dxa"/>
            <w:vAlign w:val="center"/>
          </w:tcPr>
          <w:p>
            <w:pPr>
              <w:pStyle w:val="15"/>
              <w:rPr>
                <w:rFonts w:ascii="Times New Roman" w:hAnsi="Times New Roman" w:cs="Times New Roman"/>
                <w:sz w:val="21"/>
              </w:rPr>
            </w:pPr>
            <w:r>
              <w:rPr>
                <w:rFonts w:ascii="Times New Roman" w:hAnsi="Times New Roman" w:cs="Times New Roman"/>
                <w:sz w:val="21"/>
              </w:rPr>
              <w:t>流量</w:t>
            </w:r>
          </w:p>
        </w:tc>
        <w:tc>
          <w:tcPr>
            <w:tcW w:w="1985" w:type="dxa"/>
            <w:vAlign w:val="center"/>
          </w:tcPr>
          <w:p>
            <w:pPr>
              <w:pStyle w:val="15"/>
              <w:rPr>
                <w:rFonts w:ascii="Times New Roman" w:hAnsi="Times New Roman" w:cs="Times New Roman"/>
                <w:sz w:val="21"/>
              </w:rPr>
            </w:pPr>
            <w:r>
              <w:rPr>
                <w:rFonts w:ascii="Times New Roman" w:hAnsi="Times New Roman" w:cs="Times New Roman"/>
                <w:sz w:val="21"/>
              </w:rPr>
              <w:t>电解池法</w:t>
            </w:r>
          </w:p>
        </w:tc>
        <w:tc>
          <w:tcPr>
            <w:tcW w:w="3260" w:type="dxa"/>
            <w:vAlign w:val="center"/>
          </w:tcPr>
          <w:p>
            <w:pPr>
              <w:pStyle w:val="15"/>
              <w:spacing w:before="85"/>
              <w:ind w:left="186" w:right="179"/>
              <w:rPr>
                <w:rFonts w:ascii="Times New Roman" w:hAnsi="Times New Roman" w:cs="Times New Roman" w:eastAsiaTheme="minorEastAsia"/>
                <w:sz w:val="21"/>
              </w:rPr>
            </w:pPr>
            <w:r>
              <w:rPr>
                <w:rFonts w:ascii="Times New Roman" w:hAnsi="Times New Roman" w:cs="Times New Roman" w:eastAsiaTheme="minorEastAsia"/>
                <w:sz w:val="23"/>
                <w:szCs w:val="23"/>
              </w:rPr>
              <w:t>每年须进行计量检定</w:t>
            </w:r>
          </w:p>
        </w:tc>
      </w:tr>
    </w:tbl>
    <w:p>
      <w:pPr>
        <w:pStyle w:val="2"/>
        <w:ind w:firstLine="480"/>
        <w:rPr>
          <w:rFonts w:ascii="Times New Roman" w:hAnsi="Times New Roman" w:cs="Times New Roman"/>
        </w:rPr>
      </w:pPr>
      <w:r>
        <w:rPr>
          <w:rFonts w:ascii="Times New Roman" w:hAnsi="Times New Roman" w:cs="Times New Roman"/>
        </w:rPr>
        <w:t>3、废水污染物监测结果评价标准见表 12。</w:t>
      </w:r>
    </w:p>
    <w:p>
      <w:pPr>
        <w:pStyle w:val="20"/>
        <w:rPr>
          <w:rFonts w:cs="Times New Roman"/>
        </w:rPr>
      </w:pPr>
      <w:r>
        <w:rPr>
          <w:rFonts w:cs="Times New Roman"/>
        </w:rPr>
        <w:t>表 12</w:t>
      </w:r>
      <w:r>
        <w:rPr>
          <w:rFonts w:cs="Times New Roman"/>
        </w:rPr>
        <w:tab/>
      </w:r>
      <w:r>
        <w:rPr>
          <w:rFonts w:cs="Times New Roman"/>
        </w:rPr>
        <w:t>废水污染物排放执行标准</w:t>
      </w:r>
    </w:p>
    <w:tbl>
      <w:tblPr>
        <w:tblStyle w:val="2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936"/>
        <w:gridCol w:w="2276"/>
        <w:gridCol w:w="1729"/>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54" w:type="dxa"/>
            <w:vAlign w:val="center"/>
          </w:tcPr>
          <w:p>
            <w:pPr>
              <w:pStyle w:val="15"/>
              <w:ind w:left="155"/>
              <w:rPr>
                <w:rFonts w:ascii="Times New Roman" w:hAnsi="Times New Roman" w:cs="Times New Roman"/>
                <w:b/>
                <w:sz w:val="21"/>
              </w:rPr>
            </w:pPr>
            <w:r>
              <w:rPr>
                <w:rFonts w:ascii="Times New Roman" w:hAnsi="Times New Roman" w:cs="Times New Roman"/>
                <w:b/>
                <w:sz w:val="21"/>
              </w:rPr>
              <w:t>监测点位</w:t>
            </w:r>
          </w:p>
        </w:tc>
        <w:tc>
          <w:tcPr>
            <w:tcW w:w="936" w:type="dxa"/>
            <w:vAlign w:val="center"/>
          </w:tcPr>
          <w:p>
            <w:pPr>
              <w:pStyle w:val="15"/>
              <w:spacing w:before="46"/>
              <w:ind w:left="131" w:right="121"/>
              <w:rPr>
                <w:rFonts w:ascii="Times New Roman" w:hAnsi="Times New Roman" w:cs="Times New Roman"/>
                <w:b/>
                <w:sz w:val="21"/>
              </w:rPr>
            </w:pPr>
            <w:r>
              <w:rPr>
                <w:rFonts w:ascii="Times New Roman" w:hAnsi="Times New Roman" w:cs="Times New Roman"/>
                <w:b/>
                <w:sz w:val="21"/>
              </w:rPr>
              <w:t>排放口</w:t>
            </w:r>
          </w:p>
          <w:p>
            <w:pPr>
              <w:pStyle w:val="15"/>
              <w:spacing w:before="53" w:line="252" w:lineRule="exact"/>
              <w:ind w:left="131" w:right="121"/>
              <w:rPr>
                <w:rFonts w:ascii="Times New Roman" w:hAnsi="Times New Roman" w:cs="Times New Roman"/>
                <w:b/>
                <w:sz w:val="21"/>
              </w:rPr>
            </w:pPr>
            <w:r>
              <w:rPr>
                <w:rFonts w:ascii="Times New Roman" w:hAnsi="Times New Roman" w:cs="Times New Roman"/>
                <w:b/>
                <w:sz w:val="21"/>
              </w:rPr>
              <w:t>编号</w:t>
            </w:r>
          </w:p>
        </w:tc>
        <w:tc>
          <w:tcPr>
            <w:tcW w:w="2276" w:type="dxa"/>
            <w:vAlign w:val="center"/>
          </w:tcPr>
          <w:p>
            <w:pPr>
              <w:pStyle w:val="15"/>
              <w:ind w:left="276" w:right="266"/>
              <w:rPr>
                <w:rFonts w:ascii="Times New Roman" w:hAnsi="Times New Roman" w:cs="Times New Roman"/>
                <w:b/>
                <w:sz w:val="21"/>
              </w:rPr>
            </w:pPr>
            <w:r>
              <w:rPr>
                <w:rFonts w:ascii="Times New Roman" w:hAnsi="Times New Roman" w:cs="Times New Roman"/>
                <w:b/>
                <w:sz w:val="21"/>
              </w:rPr>
              <w:t>监测项目</w:t>
            </w:r>
          </w:p>
        </w:tc>
        <w:tc>
          <w:tcPr>
            <w:tcW w:w="1729" w:type="dxa"/>
            <w:vAlign w:val="center"/>
          </w:tcPr>
          <w:p>
            <w:pPr>
              <w:pStyle w:val="15"/>
              <w:ind w:left="211" w:right="203"/>
              <w:rPr>
                <w:rFonts w:ascii="Times New Roman" w:hAnsi="Times New Roman" w:cs="Times New Roman"/>
                <w:b/>
                <w:sz w:val="21"/>
              </w:rPr>
            </w:pPr>
            <w:r>
              <w:rPr>
                <w:rFonts w:ascii="Times New Roman" w:hAnsi="Times New Roman" w:cs="Times New Roman"/>
                <w:b/>
                <w:sz w:val="21"/>
              </w:rPr>
              <w:t>执行标准限值</w:t>
            </w:r>
          </w:p>
        </w:tc>
        <w:tc>
          <w:tcPr>
            <w:tcW w:w="2430" w:type="dxa"/>
            <w:vAlign w:val="center"/>
          </w:tcPr>
          <w:p>
            <w:pPr>
              <w:pStyle w:val="15"/>
              <w:ind w:left="29" w:right="22"/>
              <w:rPr>
                <w:rFonts w:ascii="Times New Roman" w:hAnsi="Times New Roman" w:cs="Times New Roman"/>
                <w:b/>
                <w:sz w:val="21"/>
              </w:rPr>
            </w:pPr>
            <w:r>
              <w:rPr>
                <w:rFonts w:ascii="Times New Roman" w:hAnsi="Times New Roman" w:cs="Times New Roman"/>
                <w:b/>
                <w:sz w:val="21"/>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54" w:type="dxa"/>
            <w:vMerge w:val="restart"/>
            <w:vAlign w:val="center"/>
          </w:tcPr>
          <w:p>
            <w:pPr>
              <w:pStyle w:val="15"/>
              <w:spacing w:before="24"/>
              <w:ind w:left="137" w:right="127"/>
              <w:rPr>
                <w:rFonts w:ascii="Times New Roman" w:hAnsi="Times New Roman" w:cs="Times New Roman"/>
                <w:sz w:val="21"/>
              </w:rPr>
            </w:pPr>
            <w:r>
              <w:rPr>
                <w:rFonts w:ascii="Times New Roman" w:hAnsi="Times New Roman" w:cs="Times New Roman"/>
                <w:sz w:val="21"/>
              </w:rPr>
              <w:t>废水排放</w:t>
            </w:r>
          </w:p>
          <w:p>
            <w:pPr>
              <w:pStyle w:val="15"/>
              <w:spacing w:before="52"/>
              <w:ind w:left="7"/>
              <w:rPr>
                <w:rFonts w:ascii="Times New Roman" w:hAnsi="Times New Roman" w:cs="Times New Roman"/>
                <w:sz w:val="20"/>
              </w:rPr>
            </w:pPr>
            <w:r>
              <w:rPr>
                <w:rFonts w:ascii="Times New Roman" w:hAnsi="Times New Roman" w:cs="Times New Roman"/>
                <w:sz w:val="21"/>
              </w:rPr>
              <w:t>口</w:t>
            </w:r>
          </w:p>
        </w:tc>
        <w:tc>
          <w:tcPr>
            <w:tcW w:w="936" w:type="dxa"/>
            <w:vMerge w:val="restart"/>
            <w:vAlign w:val="center"/>
          </w:tcPr>
          <w:p>
            <w:pPr>
              <w:pStyle w:val="15"/>
              <w:spacing w:before="6"/>
              <w:rPr>
                <w:rFonts w:ascii="Times New Roman" w:hAnsi="Times New Roman" w:cs="Times New Roman"/>
                <w:b/>
                <w:sz w:val="15"/>
              </w:rPr>
            </w:pPr>
          </w:p>
          <w:p>
            <w:pPr>
              <w:pStyle w:val="15"/>
              <w:ind w:left="134"/>
              <w:rPr>
                <w:rFonts w:ascii="Times New Roman" w:hAnsi="Times New Roman" w:cs="Times New Roman"/>
                <w:sz w:val="20"/>
              </w:rPr>
            </w:pPr>
            <w:r>
              <w:rPr>
                <w:rFonts w:ascii="Times New Roman" w:hAnsi="Times New Roman" w:cs="Times New Roman"/>
                <w:sz w:val="21"/>
              </w:rPr>
              <w:t>DW001</w:t>
            </w:r>
          </w:p>
        </w:tc>
        <w:tc>
          <w:tcPr>
            <w:tcW w:w="2276" w:type="dxa"/>
            <w:vAlign w:val="center"/>
          </w:tcPr>
          <w:p>
            <w:pPr>
              <w:pStyle w:val="15"/>
              <w:spacing w:before="99"/>
              <w:ind w:left="275" w:right="266"/>
              <w:rPr>
                <w:rFonts w:ascii="Times New Roman" w:hAnsi="Times New Roman" w:cs="Times New Roman"/>
                <w:sz w:val="21"/>
              </w:rPr>
            </w:pPr>
            <w:r>
              <w:rPr>
                <w:rFonts w:ascii="Times New Roman" w:hAnsi="Times New Roman" w:cs="Times New Roman"/>
                <w:sz w:val="21"/>
              </w:rPr>
              <w:t>pH</w:t>
            </w:r>
          </w:p>
        </w:tc>
        <w:tc>
          <w:tcPr>
            <w:tcW w:w="1729" w:type="dxa"/>
            <w:vAlign w:val="center"/>
          </w:tcPr>
          <w:p>
            <w:pPr>
              <w:pStyle w:val="15"/>
              <w:spacing w:before="99"/>
              <w:ind w:left="211" w:right="202"/>
              <w:rPr>
                <w:rFonts w:ascii="Times New Roman" w:hAnsi="Times New Roman" w:cs="Times New Roman"/>
                <w:sz w:val="21"/>
              </w:rPr>
            </w:pPr>
            <w:r>
              <w:rPr>
                <w:rFonts w:ascii="Times New Roman" w:hAnsi="Times New Roman" w:cs="Times New Roman"/>
                <w:sz w:val="21"/>
              </w:rPr>
              <w:t>6~9</w:t>
            </w:r>
          </w:p>
        </w:tc>
        <w:tc>
          <w:tcPr>
            <w:tcW w:w="2430" w:type="dxa"/>
            <w:vMerge w:val="restart"/>
            <w:vAlign w:val="center"/>
          </w:tcPr>
          <w:p>
            <w:pPr>
              <w:pStyle w:val="15"/>
              <w:rPr>
                <w:rFonts w:ascii="Times New Roman" w:hAnsi="Times New Roman" w:cs="Times New Roman"/>
                <w:sz w:val="20"/>
              </w:rPr>
            </w:pPr>
            <w:r>
              <w:rPr>
                <w:rFonts w:ascii="Times New Roman" w:hAnsi="Times New Roman" w:cs="Times New Roman"/>
                <w:sz w:val="21"/>
              </w:rPr>
              <w:t>《医疗机构水污染物排</w:t>
            </w:r>
          </w:p>
          <w:p>
            <w:pPr>
              <w:pStyle w:val="15"/>
              <w:rPr>
                <w:rFonts w:ascii="Times New Roman" w:hAnsi="Times New Roman" w:cs="Times New Roman"/>
                <w:sz w:val="20"/>
              </w:rPr>
            </w:pPr>
            <w:r>
              <w:rPr>
                <w:rFonts w:ascii="Times New Roman" w:hAnsi="Times New Roman" w:cs="Times New Roman"/>
                <w:sz w:val="21"/>
              </w:rPr>
              <w:t>放标准》（</w:t>
            </w:r>
            <w:r>
              <w:rPr>
                <w:rFonts w:ascii="Times New Roman" w:hAnsi="Times New Roman" w:eastAsia="Times New Roman" w:cs="Times New Roman"/>
                <w:sz w:val="21"/>
              </w:rPr>
              <w:t>GB18466-2005</w:t>
            </w:r>
            <w:r>
              <w:rPr>
                <w:rFonts w:ascii="Times New Roman" w:hAnsi="Times New Roman" w:cs="Times New Roman"/>
                <w:sz w:val="21"/>
              </w:rPr>
              <w:t xml:space="preserve">）中表 </w:t>
            </w:r>
            <w:r>
              <w:rPr>
                <w:rFonts w:ascii="Times New Roman" w:hAnsi="Times New Roman" w:eastAsia="Times New Roman" w:cs="Times New Roman"/>
                <w:sz w:val="21"/>
              </w:rPr>
              <w:t xml:space="preserve">2 </w:t>
            </w:r>
            <w:r>
              <w:rPr>
                <w:rFonts w:ascii="Times New Roman" w:hAnsi="Times New Roman" w:cs="Times New Roman"/>
                <w:sz w:val="21"/>
              </w:rPr>
              <w:t>预处理标准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154" w:type="dxa"/>
            <w:vMerge w:val="continue"/>
          </w:tcPr>
          <w:p>
            <w:pPr>
              <w:pStyle w:val="15"/>
              <w:spacing w:before="52"/>
              <w:ind w:left="7"/>
              <w:rPr>
                <w:rFonts w:ascii="Times New Roman" w:hAnsi="Times New Roman" w:cs="Times New Roman"/>
                <w:sz w:val="20"/>
              </w:rPr>
            </w:pPr>
          </w:p>
        </w:tc>
        <w:tc>
          <w:tcPr>
            <w:tcW w:w="936" w:type="dxa"/>
            <w:vMerge w:val="continue"/>
          </w:tcPr>
          <w:p>
            <w:pPr>
              <w:pStyle w:val="15"/>
              <w:ind w:left="134"/>
              <w:jc w:val="left"/>
              <w:rPr>
                <w:rFonts w:ascii="Times New Roman" w:hAnsi="Times New Roman" w:cs="Times New Roman"/>
                <w:sz w:val="20"/>
              </w:rPr>
            </w:pPr>
          </w:p>
        </w:tc>
        <w:tc>
          <w:tcPr>
            <w:tcW w:w="2276" w:type="dxa"/>
          </w:tcPr>
          <w:p>
            <w:pPr>
              <w:pStyle w:val="15"/>
              <w:spacing w:before="99"/>
              <w:ind w:left="275" w:right="266"/>
              <w:rPr>
                <w:rFonts w:ascii="Times New Roman" w:hAnsi="Times New Roman" w:cs="Times New Roman"/>
                <w:sz w:val="21"/>
              </w:rPr>
            </w:pPr>
            <w:r>
              <w:rPr>
                <w:rFonts w:ascii="Times New Roman" w:hAnsi="Times New Roman" w:cs="Times New Roman"/>
                <w:sz w:val="21"/>
              </w:rPr>
              <w:t>COD</w:t>
            </w:r>
          </w:p>
        </w:tc>
        <w:tc>
          <w:tcPr>
            <w:tcW w:w="1729" w:type="dxa"/>
          </w:tcPr>
          <w:p>
            <w:pPr>
              <w:pStyle w:val="15"/>
              <w:spacing w:before="99"/>
              <w:ind w:left="211" w:right="203"/>
              <w:rPr>
                <w:rFonts w:ascii="Times New Roman" w:hAnsi="Times New Roman" w:cs="Times New Roman"/>
                <w:sz w:val="21"/>
              </w:rPr>
            </w:pPr>
            <w:r>
              <w:rPr>
                <w:rFonts w:ascii="Times New Roman" w:hAnsi="Times New Roman" w:cs="Times New Roman"/>
                <w:sz w:val="21"/>
              </w:rPr>
              <w:t>250mg/L</w:t>
            </w:r>
          </w:p>
        </w:tc>
        <w:tc>
          <w:tcPr>
            <w:tcW w:w="2430" w:type="dxa"/>
            <w:vMerge w:val="continue"/>
          </w:tcPr>
          <w:p>
            <w:pPr>
              <w:pStyle w:val="15"/>
              <w:jc w:val="both"/>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154" w:type="dxa"/>
            <w:vMerge w:val="continue"/>
            <w:tcBorders>
              <w:bottom w:val="single" w:color="000000" w:sz="4" w:space="0"/>
            </w:tcBorders>
          </w:tcPr>
          <w:p>
            <w:pPr>
              <w:pStyle w:val="15"/>
              <w:spacing w:before="52"/>
              <w:ind w:left="7"/>
              <w:rPr>
                <w:rFonts w:ascii="Times New Roman" w:hAnsi="Times New Roman" w:cs="Times New Roman"/>
                <w:sz w:val="20"/>
              </w:rPr>
            </w:pPr>
          </w:p>
        </w:tc>
        <w:tc>
          <w:tcPr>
            <w:tcW w:w="936" w:type="dxa"/>
            <w:vMerge w:val="continue"/>
            <w:tcBorders>
              <w:bottom w:val="single" w:color="000000" w:sz="4" w:space="0"/>
            </w:tcBorders>
          </w:tcPr>
          <w:p>
            <w:pPr>
              <w:pStyle w:val="15"/>
              <w:ind w:left="134"/>
              <w:jc w:val="left"/>
              <w:rPr>
                <w:rFonts w:ascii="Times New Roman" w:hAnsi="Times New Roman" w:cs="Times New Roman"/>
                <w:sz w:val="20"/>
              </w:rPr>
            </w:pPr>
          </w:p>
        </w:tc>
        <w:tc>
          <w:tcPr>
            <w:tcW w:w="2276" w:type="dxa"/>
            <w:tcBorders>
              <w:bottom w:val="single" w:color="000000" w:sz="4" w:space="0"/>
            </w:tcBorders>
          </w:tcPr>
          <w:p>
            <w:pPr>
              <w:pStyle w:val="15"/>
              <w:spacing w:before="85"/>
              <w:ind w:left="276" w:right="266"/>
              <w:rPr>
                <w:rFonts w:ascii="Times New Roman" w:hAnsi="Times New Roman" w:cs="Times New Roman"/>
                <w:sz w:val="21"/>
              </w:rPr>
            </w:pPr>
            <w:r>
              <w:rPr>
                <w:rFonts w:ascii="Times New Roman" w:hAnsi="Times New Roman" w:cs="Times New Roman"/>
                <w:sz w:val="21"/>
              </w:rPr>
              <w:t>总余氯</w:t>
            </w:r>
          </w:p>
        </w:tc>
        <w:tc>
          <w:tcPr>
            <w:tcW w:w="1729" w:type="dxa"/>
            <w:tcBorders>
              <w:bottom w:val="single" w:color="000000" w:sz="4" w:space="0"/>
            </w:tcBorders>
          </w:tcPr>
          <w:p>
            <w:pPr>
              <w:pStyle w:val="15"/>
              <w:spacing w:before="99"/>
              <w:ind w:left="449"/>
              <w:jc w:val="left"/>
              <w:rPr>
                <w:rFonts w:ascii="Times New Roman" w:hAnsi="Times New Roman" w:cs="Times New Roman"/>
                <w:sz w:val="21"/>
              </w:rPr>
            </w:pPr>
            <w:r>
              <w:rPr>
                <w:rFonts w:ascii="Times New Roman" w:hAnsi="Times New Roman" w:cs="Times New Roman"/>
                <w:sz w:val="21"/>
              </w:rPr>
              <w:t>2~8 mg/L</w:t>
            </w:r>
          </w:p>
        </w:tc>
        <w:tc>
          <w:tcPr>
            <w:tcW w:w="2430" w:type="dxa"/>
            <w:vMerge w:val="continue"/>
          </w:tcPr>
          <w:p>
            <w:pPr>
              <w:pStyle w:val="15"/>
              <w:jc w:val="both"/>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54" w:type="dxa"/>
            <w:vMerge w:val="continue"/>
          </w:tcPr>
          <w:p>
            <w:pPr>
              <w:rPr>
                <w:rFonts w:ascii="Times New Roman" w:hAnsi="Times New Roman" w:cs="Times New Roman"/>
                <w:sz w:val="2"/>
                <w:szCs w:val="2"/>
              </w:rPr>
            </w:pPr>
          </w:p>
        </w:tc>
        <w:tc>
          <w:tcPr>
            <w:tcW w:w="936" w:type="dxa"/>
            <w:vMerge w:val="continue"/>
          </w:tcPr>
          <w:p>
            <w:pPr>
              <w:rPr>
                <w:rFonts w:ascii="Times New Roman" w:hAnsi="Times New Roman" w:cs="Times New Roman"/>
                <w:sz w:val="2"/>
                <w:szCs w:val="2"/>
              </w:rPr>
            </w:pPr>
          </w:p>
        </w:tc>
        <w:tc>
          <w:tcPr>
            <w:tcW w:w="2276" w:type="dxa"/>
          </w:tcPr>
          <w:p>
            <w:pPr>
              <w:pStyle w:val="15"/>
              <w:spacing w:before="85"/>
              <w:ind w:left="276" w:right="266"/>
              <w:rPr>
                <w:rFonts w:ascii="Times New Roman" w:hAnsi="Times New Roman" w:cs="Times New Roman"/>
                <w:sz w:val="21"/>
              </w:rPr>
            </w:pPr>
            <w:r>
              <w:rPr>
                <w:rFonts w:ascii="Times New Roman" w:hAnsi="Times New Roman" w:cs="Times New Roman"/>
                <w:sz w:val="21"/>
              </w:rPr>
              <w:t>悬浮物</w:t>
            </w:r>
          </w:p>
        </w:tc>
        <w:tc>
          <w:tcPr>
            <w:tcW w:w="1729" w:type="dxa"/>
          </w:tcPr>
          <w:p>
            <w:pPr>
              <w:pStyle w:val="15"/>
              <w:spacing w:before="99"/>
              <w:ind w:left="211" w:right="203"/>
              <w:rPr>
                <w:rFonts w:ascii="Times New Roman" w:hAnsi="Times New Roman" w:cs="Times New Roman"/>
                <w:sz w:val="21"/>
              </w:rPr>
            </w:pPr>
            <w:r>
              <w:rPr>
                <w:rFonts w:ascii="Times New Roman" w:hAnsi="Times New Roman" w:cs="Times New Roman"/>
                <w:sz w:val="21"/>
              </w:rPr>
              <w:t>60 mg/L</w:t>
            </w:r>
          </w:p>
        </w:tc>
        <w:tc>
          <w:tcPr>
            <w:tcW w:w="2430" w:type="dxa"/>
            <w:vMerge w:val="continue"/>
          </w:tcPr>
          <w:p>
            <w:pPr>
              <w:jc w:val="both"/>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54" w:type="dxa"/>
            <w:vMerge w:val="continue"/>
            <w:tcBorders>
              <w:bottom w:val="single" w:color="000000" w:sz="4" w:space="0"/>
            </w:tcBorders>
          </w:tcPr>
          <w:p>
            <w:pPr>
              <w:rPr>
                <w:rFonts w:ascii="Times New Roman" w:hAnsi="Times New Roman" w:cs="Times New Roman"/>
                <w:sz w:val="2"/>
                <w:szCs w:val="2"/>
              </w:rPr>
            </w:pPr>
          </w:p>
        </w:tc>
        <w:tc>
          <w:tcPr>
            <w:tcW w:w="936" w:type="dxa"/>
            <w:vMerge w:val="continue"/>
            <w:tcBorders>
              <w:bottom w:val="single" w:color="000000" w:sz="4" w:space="0"/>
            </w:tcBorders>
          </w:tcPr>
          <w:p>
            <w:pPr>
              <w:rPr>
                <w:rFonts w:ascii="Times New Roman" w:hAnsi="Times New Roman" w:cs="Times New Roman"/>
                <w:sz w:val="2"/>
                <w:szCs w:val="2"/>
              </w:rPr>
            </w:pPr>
          </w:p>
        </w:tc>
        <w:tc>
          <w:tcPr>
            <w:tcW w:w="2276" w:type="dxa"/>
            <w:tcBorders>
              <w:bottom w:val="single" w:color="000000" w:sz="4" w:space="0"/>
            </w:tcBorders>
          </w:tcPr>
          <w:p>
            <w:pPr>
              <w:pStyle w:val="15"/>
              <w:spacing w:before="87"/>
              <w:ind w:left="401"/>
              <w:jc w:val="left"/>
              <w:rPr>
                <w:rFonts w:ascii="Times New Roman" w:hAnsi="Times New Roman" w:cs="Times New Roman"/>
                <w:sz w:val="21"/>
              </w:rPr>
            </w:pPr>
            <w:r>
              <w:rPr>
                <w:rFonts w:ascii="Times New Roman" w:hAnsi="Times New Roman" w:cs="Times New Roman"/>
                <w:sz w:val="21"/>
              </w:rPr>
              <w:t>五日生化需氧量</w:t>
            </w:r>
          </w:p>
        </w:tc>
        <w:tc>
          <w:tcPr>
            <w:tcW w:w="1729" w:type="dxa"/>
            <w:tcBorders>
              <w:bottom w:val="single" w:color="000000" w:sz="4" w:space="0"/>
            </w:tcBorders>
          </w:tcPr>
          <w:p>
            <w:pPr>
              <w:pStyle w:val="15"/>
              <w:spacing w:before="101"/>
              <w:ind w:left="451"/>
              <w:jc w:val="left"/>
              <w:rPr>
                <w:rFonts w:ascii="Times New Roman" w:hAnsi="Times New Roman" w:cs="Times New Roman"/>
                <w:sz w:val="21"/>
              </w:rPr>
            </w:pPr>
            <w:r>
              <w:rPr>
                <w:rFonts w:ascii="Times New Roman" w:hAnsi="Times New Roman" w:cs="Times New Roman"/>
                <w:sz w:val="21"/>
              </w:rPr>
              <w:t>100 mg/L</w:t>
            </w:r>
          </w:p>
        </w:tc>
        <w:tc>
          <w:tcPr>
            <w:tcW w:w="2430" w:type="dxa"/>
            <w:vMerge w:val="continue"/>
          </w:tcPr>
          <w:p>
            <w:pPr>
              <w:jc w:val="both"/>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54" w:type="dxa"/>
            <w:vMerge w:val="continue"/>
          </w:tcPr>
          <w:p>
            <w:pPr>
              <w:pStyle w:val="15"/>
              <w:jc w:val="left"/>
              <w:rPr>
                <w:rFonts w:ascii="Times New Roman" w:hAnsi="Times New Roman" w:cs="Times New Roman"/>
                <w:sz w:val="20"/>
              </w:rPr>
            </w:pPr>
          </w:p>
        </w:tc>
        <w:tc>
          <w:tcPr>
            <w:tcW w:w="936" w:type="dxa"/>
            <w:vMerge w:val="continue"/>
          </w:tcPr>
          <w:p>
            <w:pPr>
              <w:pStyle w:val="15"/>
              <w:jc w:val="left"/>
              <w:rPr>
                <w:rFonts w:ascii="Times New Roman" w:hAnsi="Times New Roman" w:cs="Times New Roman"/>
                <w:sz w:val="20"/>
              </w:rPr>
            </w:pPr>
          </w:p>
        </w:tc>
        <w:tc>
          <w:tcPr>
            <w:tcW w:w="2276" w:type="dxa"/>
          </w:tcPr>
          <w:p>
            <w:pPr>
              <w:pStyle w:val="15"/>
              <w:spacing w:before="85"/>
              <w:ind w:left="279" w:right="266"/>
              <w:rPr>
                <w:rFonts w:ascii="Times New Roman" w:hAnsi="Times New Roman" w:cs="Times New Roman"/>
                <w:sz w:val="21"/>
              </w:rPr>
            </w:pPr>
            <w:r>
              <w:rPr>
                <w:rFonts w:ascii="Times New Roman" w:hAnsi="Times New Roman" w:cs="Times New Roman"/>
                <w:sz w:val="21"/>
              </w:rPr>
              <w:t>动植物油</w:t>
            </w:r>
          </w:p>
        </w:tc>
        <w:tc>
          <w:tcPr>
            <w:tcW w:w="1729" w:type="dxa"/>
          </w:tcPr>
          <w:p>
            <w:pPr>
              <w:pStyle w:val="15"/>
              <w:spacing w:before="99"/>
              <w:ind w:left="211" w:right="203"/>
              <w:rPr>
                <w:rFonts w:ascii="Times New Roman" w:hAnsi="Times New Roman" w:cs="Times New Roman"/>
                <w:sz w:val="21"/>
              </w:rPr>
            </w:pPr>
            <w:r>
              <w:rPr>
                <w:rFonts w:ascii="Times New Roman" w:hAnsi="Times New Roman" w:cs="Times New Roman"/>
                <w:sz w:val="21"/>
              </w:rPr>
              <w:t>20 mg/L</w:t>
            </w:r>
          </w:p>
        </w:tc>
        <w:tc>
          <w:tcPr>
            <w:tcW w:w="2430" w:type="dxa"/>
            <w:vMerge w:val="continue"/>
          </w:tcPr>
          <w:p>
            <w:pPr>
              <w:pStyle w:val="15"/>
              <w:jc w:val="left"/>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54" w:type="dxa"/>
            <w:vMerge w:val="continue"/>
          </w:tcPr>
          <w:p>
            <w:pPr>
              <w:pStyle w:val="15"/>
              <w:jc w:val="left"/>
              <w:rPr>
                <w:rFonts w:ascii="Times New Roman" w:hAnsi="Times New Roman" w:cs="Times New Roman"/>
                <w:sz w:val="20"/>
              </w:rPr>
            </w:pPr>
          </w:p>
        </w:tc>
        <w:tc>
          <w:tcPr>
            <w:tcW w:w="936" w:type="dxa"/>
            <w:vMerge w:val="continue"/>
          </w:tcPr>
          <w:p>
            <w:pPr>
              <w:pStyle w:val="15"/>
              <w:jc w:val="left"/>
              <w:rPr>
                <w:rFonts w:ascii="Times New Roman" w:hAnsi="Times New Roman" w:cs="Times New Roman"/>
                <w:sz w:val="20"/>
              </w:rPr>
            </w:pPr>
          </w:p>
        </w:tc>
        <w:tc>
          <w:tcPr>
            <w:tcW w:w="2276" w:type="dxa"/>
          </w:tcPr>
          <w:p>
            <w:pPr>
              <w:pStyle w:val="15"/>
              <w:spacing w:before="85"/>
              <w:ind w:left="276" w:right="266"/>
              <w:rPr>
                <w:rFonts w:ascii="Times New Roman" w:hAnsi="Times New Roman" w:cs="Times New Roman"/>
                <w:sz w:val="21"/>
              </w:rPr>
            </w:pPr>
            <w:r>
              <w:rPr>
                <w:rFonts w:ascii="Times New Roman" w:hAnsi="Times New Roman" w:cs="Times New Roman"/>
                <w:sz w:val="21"/>
              </w:rPr>
              <w:t>石油类</w:t>
            </w:r>
          </w:p>
        </w:tc>
        <w:tc>
          <w:tcPr>
            <w:tcW w:w="1729" w:type="dxa"/>
          </w:tcPr>
          <w:p>
            <w:pPr>
              <w:pStyle w:val="15"/>
              <w:spacing w:before="99"/>
              <w:ind w:left="211" w:right="203"/>
              <w:rPr>
                <w:rFonts w:ascii="Times New Roman" w:hAnsi="Times New Roman" w:cs="Times New Roman"/>
                <w:sz w:val="21"/>
              </w:rPr>
            </w:pPr>
            <w:r>
              <w:rPr>
                <w:rFonts w:ascii="Times New Roman" w:hAnsi="Times New Roman" w:cs="Times New Roman"/>
                <w:sz w:val="21"/>
              </w:rPr>
              <w:t>20 mg/L</w:t>
            </w:r>
          </w:p>
        </w:tc>
        <w:tc>
          <w:tcPr>
            <w:tcW w:w="2430" w:type="dxa"/>
            <w:vMerge w:val="continue"/>
          </w:tcPr>
          <w:p>
            <w:pPr>
              <w:pStyle w:val="15"/>
              <w:jc w:val="left"/>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54" w:type="dxa"/>
            <w:vMerge w:val="continue"/>
          </w:tcPr>
          <w:p>
            <w:pPr>
              <w:pStyle w:val="15"/>
              <w:jc w:val="left"/>
              <w:rPr>
                <w:rFonts w:ascii="Times New Roman" w:hAnsi="Times New Roman" w:cs="Times New Roman"/>
                <w:sz w:val="20"/>
              </w:rPr>
            </w:pPr>
          </w:p>
        </w:tc>
        <w:tc>
          <w:tcPr>
            <w:tcW w:w="936" w:type="dxa"/>
            <w:vMerge w:val="continue"/>
          </w:tcPr>
          <w:p>
            <w:pPr>
              <w:pStyle w:val="15"/>
              <w:jc w:val="left"/>
              <w:rPr>
                <w:rFonts w:ascii="Times New Roman" w:hAnsi="Times New Roman" w:cs="Times New Roman"/>
                <w:sz w:val="20"/>
              </w:rPr>
            </w:pPr>
          </w:p>
        </w:tc>
        <w:tc>
          <w:tcPr>
            <w:tcW w:w="2276" w:type="dxa"/>
          </w:tcPr>
          <w:p>
            <w:pPr>
              <w:pStyle w:val="15"/>
              <w:spacing w:before="85"/>
              <w:ind w:left="276" w:right="266"/>
              <w:rPr>
                <w:rFonts w:ascii="Times New Roman" w:hAnsi="Times New Roman" w:cs="Times New Roman"/>
                <w:sz w:val="21"/>
              </w:rPr>
            </w:pPr>
            <w:r>
              <w:rPr>
                <w:rFonts w:ascii="Times New Roman" w:hAnsi="Times New Roman" w:cs="Times New Roman"/>
                <w:sz w:val="21"/>
              </w:rPr>
              <w:t>阴离子表面活性剂</w:t>
            </w:r>
          </w:p>
        </w:tc>
        <w:tc>
          <w:tcPr>
            <w:tcW w:w="1729" w:type="dxa"/>
          </w:tcPr>
          <w:p>
            <w:pPr>
              <w:pStyle w:val="15"/>
              <w:spacing w:before="99"/>
              <w:ind w:left="211" w:right="203"/>
              <w:rPr>
                <w:rFonts w:ascii="Times New Roman" w:hAnsi="Times New Roman" w:cs="Times New Roman"/>
                <w:sz w:val="21"/>
              </w:rPr>
            </w:pPr>
            <w:r>
              <w:rPr>
                <w:rFonts w:ascii="Times New Roman" w:hAnsi="Times New Roman" w:cs="Times New Roman"/>
                <w:sz w:val="21"/>
              </w:rPr>
              <w:t>10 mg/L</w:t>
            </w:r>
          </w:p>
        </w:tc>
        <w:tc>
          <w:tcPr>
            <w:tcW w:w="2430" w:type="dxa"/>
            <w:vMerge w:val="continue"/>
          </w:tcPr>
          <w:p>
            <w:pPr>
              <w:pStyle w:val="15"/>
              <w:jc w:val="left"/>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54" w:type="dxa"/>
            <w:vMerge w:val="continue"/>
          </w:tcPr>
          <w:p>
            <w:pPr>
              <w:pStyle w:val="15"/>
              <w:jc w:val="left"/>
              <w:rPr>
                <w:rFonts w:ascii="Times New Roman" w:hAnsi="Times New Roman" w:cs="Times New Roman"/>
                <w:sz w:val="20"/>
              </w:rPr>
            </w:pPr>
          </w:p>
        </w:tc>
        <w:tc>
          <w:tcPr>
            <w:tcW w:w="936" w:type="dxa"/>
            <w:vMerge w:val="continue"/>
          </w:tcPr>
          <w:p>
            <w:pPr>
              <w:pStyle w:val="15"/>
              <w:jc w:val="left"/>
              <w:rPr>
                <w:rFonts w:ascii="Times New Roman" w:hAnsi="Times New Roman" w:cs="Times New Roman"/>
                <w:sz w:val="20"/>
              </w:rPr>
            </w:pPr>
          </w:p>
        </w:tc>
        <w:tc>
          <w:tcPr>
            <w:tcW w:w="2276" w:type="dxa"/>
          </w:tcPr>
          <w:p>
            <w:pPr>
              <w:pStyle w:val="15"/>
              <w:spacing w:before="85"/>
              <w:ind w:left="276" w:right="266"/>
              <w:rPr>
                <w:rFonts w:ascii="Times New Roman" w:hAnsi="Times New Roman" w:cs="Times New Roman"/>
                <w:sz w:val="21"/>
              </w:rPr>
            </w:pPr>
            <w:r>
              <w:rPr>
                <w:rFonts w:ascii="Times New Roman" w:hAnsi="Times New Roman" w:cs="Times New Roman"/>
                <w:sz w:val="21"/>
              </w:rPr>
              <w:t>挥发酚</w:t>
            </w:r>
          </w:p>
        </w:tc>
        <w:tc>
          <w:tcPr>
            <w:tcW w:w="1729" w:type="dxa"/>
          </w:tcPr>
          <w:p>
            <w:pPr>
              <w:pStyle w:val="15"/>
              <w:spacing w:before="99"/>
              <w:ind w:left="211" w:right="203"/>
              <w:rPr>
                <w:rFonts w:ascii="Times New Roman" w:hAnsi="Times New Roman" w:cs="Times New Roman"/>
                <w:sz w:val="21"/>
              </w:rPr>
            </w:pPr>
            <w:r>
              <w:rPr>
                <w:rFonts w:ascii="Times New Roman" w:hAnsi="Times New Roman" w:cs="Times New Roman"/>
                <w:sz w:val="21"/>
              </w:rPr>
              <w:t>1.0 mg/L</w:t>
            </w:r>
          </w:p>
        </w:tc>
        <w:tc>
          <w:tcPr>
            <w:tcW w:w="2430" w:type="dxa"/>
            <w:vMerge w:val="continue"/>
          </w:tcPr>
          <w:p>
            <w:pPr>
              <w:pStyle w:val="15"/>
              <w:jc w:val="left"/>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54" w:type="dxa"/>
            <w:vMerge w:val="continue"/>
          </w:tcPr>
          <w:p>
            <w:pPr>
              <w:pStyle w:val="15"/>
              <w:jc w:val="left"/>
              <w:rPr>
                <w:rFonts w:ascii="Times New Roman" w:hAnsi="Times New Roman" w:cs="Times New Roman"/>
                <w:sz w:val="20"/>
              </w:rPr>
            </w:pPr>
          </w:p>
        </w:tc>
        <w:tc>
          <w:tcPr>
            <w:tcW w:w="936" w:type="dxa"/>
            <w:vMerge w:val="continue"/>
          </w:tcPr>
          <w:p>
            <w:pPr>
              <w:pStyle w:val="15"/>
              <w:jc w:val="left"/>
              <w:rPr>
                <w:rFonts w:ascii="Times New Roman" w:hAnsi="Times New Roman" w:cs="Times New Roman"/>
                <w:sz w:val="20"/>
              </w:rPr>
            </w:pPr>
          </w:p>
        </w:tc>
        <w:tc>
          <w:tcPr>
            <w:tcW w:w="2276" w:type="dxa"/>
          </w:tcPr>
          <w:p>
            <w:pPr>
              <w:pStyle w:val="15"/>
              <w:spacing w:before="85"/>
              <w:ind w:left="276" w:right="266"/>
              <w:rPr>
                <w:rFonts w:ascii="Times New Roman" w:hAnsi="Times New Roman" w:cs="Times New Roman"/>
                <w:sz w:val="21"/>
              </w:rPr>
            </w:pPr>
            <w:r>
              <w:rPr>
                <w:rFonts w:ascii="Times New Roman" w:hAnsi="Times New Roman" w:cs="Times New Roman"/>
                <w:sz w:val="21"/>
              </w:rPr>
              <w:t>总氰化物</w:t>
            </w:r>
          </w:p>
        </w:tc>
        <w:tc>
          <w:tcPr>
            <w:tcW w:w="1729" w:type="dxa"/>
          </w:tcPr>
          <w:p>
            <w:pPr>
              <w:pStyle w:val="15"/>
              <w:spacing w:before="99"/>
              <w:ind w:left="211" w:right="203"/>
              <w:rPr>
                <w:rFonts w:ascii="Times New Roman" w:hAnsi="Times New Roman" w:cs="Times New Roman"/>
                <w:sz w:val="21"/>
              </w:rPr>
            </w:pPr>
            <w:r>
              <w:rPr>
                <w:rFonts w:ascii="Times New Roman" w:hAnsi="Times New Roman" w:cs="Times New Roman"/>
                <w:sz w:val="21"/>
              </w:rPr>
              <w:t>0.5 mg/L</w:t>
            </w:r>
          </w:p>
        </w:tc>
        <w:tc>
          <w:tcPr>
            <w:tcW w:w="2430" w:type="dxa"/>
            <w:vMerge w:val="continue"/>
          </w:tcPr>
          <w:p>
            <w:pPr>
              <w:pStyle w:val="15"/>
              <w:jc w:val="left"/>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54" w:type="dxa"/>
            <w:vMerge w:val="continue"/>
          </w:tcPr>
          <w:p>
            <w:pPr>
              <w:pStyle w:val="15"/>
              <w:jc w:val="left"/>
              <w:rPr>
                <w:rFonts w:ascii="Times New Roman" w:hAnsi="Times New Roman" w:cs="Times New Roman"/>
                <w:sz w:val="20"/>
              </w:rPr>
            </w:pPr>
          </w:p>
        </w:tc>
        <w:tc>
          <w:tcPr>
            <w:tcW w:w="936" w:type="dxa"/>
            <w:vMerge w:val="continue"/>
          </w:tcPr>
          <w:p>
            <w:pPr>
              <w:pStyle w:val="15"/>
              <w:jc w:val="left"/>
              <w:rPr>
                <w:rFonts w:ascii="Times New Roman" w:hAnsi="Times New Roman" w:cs="Times New Roman"/>
                <w:sz w:val="20"/>
              </w:rPr>
            </w:pPr>
          </w:p>
        </w:tc>
        <w:tc>
          <w:tcPr>
            <w:tcW w:w="2276" w:type="dxa"/>
          </w:tcPr>
          <w:p>
            <w:pPr>
              <w:pStyle w:val="15"/>
              <w:spacing w:before="85"/>
              <w:ind w:left="276" w:right="266"/>
              <w:rPr>
                <w:rFonts w:ascii="Times New Roman" w:hAnsi="Times New Roman" w:cs="Times New Roman"/>
                <w:sz w:val="21"/>
              </w:rPr>
            </w:pPr>
            <w:r>
              <w:rPr>
                <w:rFonts w:ascii="Times New Roman" w:hAnsi="Times New Roman" w:cs="Times New Roman"/>
                <w:sz w:val="21"/>
              </w:rPr>
              <w:t>粪大肠菌群数</w:t>
            </w:r>
          </w:p>
        </w:tc>
        <w:tc>
          <w:tcPr>
            <w:tcW w:w="1729" w:type="dxa"/>
          </w:tcPr>
          <w:p>
            <w:pPr>
              <w:pStyle w:val="15"/>
              <w:spacing w:before="99"/>
              <w:ind w:left="211" w:right="203"/>
              <w:rPr>
                <w:rFonts w:ascii="Times New Roman" w:hAnsi="Times New Roman" w:cs="Times New Roman"/>
                <w:sz w:val="21"/>
              </w:rPr>
            </w:pPr>
            <w:r>
              <w:rPr>
                <w:rFonts w:ascii="Times New Roman" w:hAnsi="Times New Roman" w:cs="Times New Roman"/>
                <w:sz w:val="21"/>
              </w:rPr>
              <w:t>5000MPN/L</w:t>
            </w:r>
          </w:p>
        </w:tc>
        <w:tc>
          <w:tcPr>
            <w:tcW w:w="2430" w:type="dxa"/>
            <w:vMerge w:val="continue"/>
          </w:tcPr>
          <w:p>
            <w:pPr>
              <w:pStyle w:val="15"/>
              <w:jc w:val="left"/>
              <w:rPr>
                <w:rFonts w:ascii="Times New Roman" w:hAnsi="Times New Roman" w:cs="Times New Roman"/>
                <w:sz w:val="20"/>
              </w:rPr>
            </w:pPr>
          </w:p>
        </w:tc>
      </w:tr>
    </w:tbl>
    <w:p>
      <w:pPr>
        <w:pStyle w:val="2"/>
        <w:ind w:firstLine="480"/>
        <w:rPr>
          <w:rFonts w:ascii="Times New Roman" w:hAnsi="Times New Roman" w:cs="Times New Roman"/>
        </w:rPr>
      </w:pPr>
      <w:r>
        <w:rPr>
          <w:rFonts w:ascii="Times New Roman" w:hAnsi="Times New Roman" w:cs="Times New Roman"/>
        </w:rPr>
        <w:t>4、废水排放监测仪器设备</w:t>
      </w:r>
    </w:p>
    <w:p>
      <w:pPr>
        <w:pStyle w:val="2"/>
        <w:ind w:firstLine="480"/>
        <w:rPr>
          <w:rFonts w:ascii="Times New Roman" w:hAnsi="Times New Roman" w:cs="Times New Roman"/>
        </w:rPr>
      </w:pPr>
      <w:r>
        <w:rPr>
          <w:rFonts w:ascii="Times New Roman" w:hAnsi="Times New Roman" w:cs="Times New Roman"/>
        </w:rPr>
        <w:t>废水排放监测仪器设备见表 13、表 14。</w:t>
      </w:r>
    </w:p>
    <w:p>
      <w:pPr>
        <w:pStyle w:val="20"/>
        <w:rPr>
          <w:rFonts w:cs="Times New Roman"/>
        </w:rPr>
      </w:pPr>
      <w:r>
        <w:rPr>
          <w:rFonts w:cs="Times New Roman"/>
        </w:rPr>
        <w:t>表 13</w:t>
      </w:r>
      <w:r>
        <w:rPr>
          <w:rFonts w:cs="Times New Roman"/>
        </w:rPr>
        <w:tab/>
      </w:r>
      <w:r>
        <w:rPr>
          <w:rFonts w:cs="Times New Roman"/>
        </w:rPr>
        <w:t>废水排放手工监测仪器设备表</w:t>
      </w:r>
    </w:p>
    <w:tbl>
      <w:tblPr>
        <w:tblStyle w:val="21"/>
        <w:tblW w:w="8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1616"/>
        <w:gridCol w:w="2413"/>
        <w:gridCol w:w="1972"/>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809" w:type="dxa"/>
            <w:vAlign w:val="center"/>
          </w:tcPr>
          <w:p>
            <w:pPr>
              <w:pStyle w:val="15"/>
              <w:spacing w:before="46"/>
              <w:rPr>
                <w:rFonts w:ascii="Times New Roman" w:hAnsi="Times New Roman" w:cs="Times New Roman"/>
                <w:b/>
                <w:sz w:val="21"/>
              </w:rPr>
            </w:pPr>
            <w:r>
              <w:rPr>
                <w:rFonts w:ascii="Times New Roman" w:hAnsi="Times New Roman" w:cs="Times New Roman"/>
                <w:b/>
                <w:sz w:val="21"/>
              </w:rPr>
              <w:t>监测</w:t>
            </w:r>
          </w:p>
          <w:p>
            <w:pPr>
              <w:pStyle w:val="15"/>
              <w:spacing w:before="53" w:line="252" w:lineRule="exact"/>
              <w:rPr>
                <w:rFonts w:ascii="Times New Roman" w:hAnsi="Times New Roman" w:cs="Times New Roman"/>
                <w:b/>
                <w:sz w:val="21"/>
              </w:rPr>
            </w:pPr>
            <w:r>
              <w:rPr>
                <w:rFonts w:ascii="Times New Roman" w:hAnsi="Times New Roman" w:cs="Times New Roman"/>
                <w:b/>
                <w:sz w:val="21"/>
              </w:rPr>
              <w:t>点位</w:t>
            </w:r>
          </w:p>
        </w:tc>
        <w:tc>
          <w:tcPr>
            <w:tcW w:w="1616" w:type="dxa"/>
            <w:vAlign w:val="center"/>
          </w:tcPr>
          <w:p>
            <w:pPr>
              <w:pStyle w:val="15"/>
              <w:ind w:left="237" w:right="227"/>
              <w:rPr>
                <w:rFonts w:ascii="Times New Roman" w:hAnsi="Times New Roman" w:cs="Times New Roman"/>
                <w:b/>
                <w:sz w:val="21"/>
              </w:rPr>
            </w:pPr>
            <w:r>
              <w:rPr>
                <w:rFonts w:ascii="Times New Roman" w:hAnsi="Times New Roman" w:cs="Times New Roman"/>
                <w:b/>
                <w:sz w:val="21"/>
              </w:rPr>
              <w:t>监测项目</w:t>
            </w:r>
          </w:p>
        </w:tc>
        <w:tc>
          <w:tcPr>
            <w:tcW w:w="2413" w:type="dxa"/>
            <w:vAlign w:val="center"/>
          </w:tcPr>
          <w:p>
            <w:pPr>
              <w:pStyle w:val="15"/>
              <w:ind w:left="78" w:right="69"/>
              <w:rPr>
                <w:rFonts w:ascii="Times New Roman" w:hAnsi="Times New Roman" w:cs="Times New Roman"/>
                <w:b/>
                <w:sz w:val="21"/>
              </w:rPr>
            </w:pPr>
            <w:r>
              <w:rPr>
                <w:rFonts w:ascii="Times New Roman" w:hAnsi="Times New Roman" w:cs="Times New Roman"/>
                <w:b/>
                <w:sz w:val="21"/>
              </w:rPr>
              <w:t>仪器名称</w:t>
            </w:r>
          </w:p>
        </w:tc>
        <w:tc>
          <w:tcPr>
            <w:tcW w:w="1972" w:type="dxa"/>
            <w:vAlign w:val="center"/>
          </w:tcPr>
          <w:p>
            <w:pPr>
              <w:pStyle w:val="15"/>
              <w:ind w:left="110" w:right="101"/>
              <w:rPr>
                <w:rFonts w:ascii="Times New Roman" w:hAnsi="Times New Roman" w:cs="Times New Roman"/>
                <w:b/>
                <w:sz w:val="21"/>
              </w:rPr>
            </w:pPr>
            <w:r>
              <w:rPr>
                <w:rFonts w:ascii="Times New Roman" w:hAnsi="Times New Roman" w:cs="Times New Roman"/>
                <w:b/>
                <w:sz w:val="21"/>
              </w:rPr>
              <w:t>规格型号</w:t>
            </w:r>
          </w:p>
        </w:tc>
        <w:tc>
          <w:tcPr>
            <w:tcW w:w="1558" w:type="dxa"/>
            <w:vAlign w:val="center"/>
          </w:tcPr>
          <w:p>
            <w:pPr>
              <w:pStyle w:val="15"/>
              <w:ind w:left="145" w:right="142"/>
              <w:rPr>
                <w:rFonts w:ascii="Times New Roman" w:hAnsi="Times New Roman" w:cs="Times New Roman"/>
                <w:b/>
                <w:sz w:val="21"/>
              </w:rPr>
            </w:pPr>
            <w:r>
              <w:rPr>
                <w:rFonts w:ascii="Times New Roman" w:hAnsi="Times New Roman"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9" w:type="dxa"/>
            <w:vMerge w:val="restart"/>
            <w:tcBorders>
              <w:top w:val="nil"/>
            </w:tcBorders>
            <w:vAlign w:val="center"/>
          </w:tcPr>
          <w:p>
            <w:pPr>
              <w:jc w:val="center"/>
              <w:rPr>
                <w:rFonts w:ascii="Times New Roman" w:hAnsi="Times New Roman" w:cs="Times New Roman"/>
                <w:sz w:val="2"/>
                <w:szCs w:val="2"/>
              </w:rPr>
            </w:pPr>
            <w:r>
              <w:rPr>
                <w:rFonts w:ascii="Times New Roman" w:hAnsi="Times New Roman" w:cs="Times New Roman"/>
                <w:b w:val="0"/>
                <w:bCs/>
              </w:rPr>
              <w:t>废水排放口</w:t>
            </w:r>
          </w:p>
        </w:tc>
        <w:tc>
          <w:tcPr>
            <w:tcW w:w="1616"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悬浮物</w:t>
            </w:r>
          </w:p>
        </w:tc>
        <w:tc>
          <w:tcPr>
            <w:tcW w:w="2413"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 xml:space="preserve">电子天平 </w:t>
            </w:r>
          </w:p>
        </w:tc>
        <w:tc>
          <w:tcPr>
            <w:tcW w:w="1972"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MS204S</w:t>
            </w:r>
          </w:p>
        </w:tc>
        <w:tc>
          <w:tcPr>
            <w:tcW w:w="1558" w:type="dxa"/>
            <w:vAlign w:val="center"/>
          </w:tcPr>
          <w:p>
            <w:pPr>
              <w:pStyle w:val="15"/>
              <w:spacing w:before="85"/>
              <w:ind w:left="148" w:right="142"/>
              <w:rPr>
                <w:rFonts w:ascii="Times New Roman" w:hAnsi="Times New Roman" w:cs="Times New Roman"/>
                <w:sz w:val="21"/>
              </w:rPr>
            </w:pPr>
            <w:r>
              <w:rPr>
                <w:rFonts w:ascii="Times New Roman" w:hAnsi="Times New Roman" w:cs="Times New Roman"/>
                <w:b w:val="0"/>
                <w:bCs/>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09" w:type="dxa"/>
            <w:vMerge w:val="continue"/>
            <w:tcBorders>
              <w:top w:val="nil"/>
            </w:tcBorders>
            <w:vAlign w:val="center"/>
          </w:tcPr>
          <w:p>
            <w:pPr>
              <w:jc w:val="center"/>
              <w:rPr>
                <w:rFonts w:ascii="Times New Roman" w:hAnsi="Times New Roman" w:cs="Times New Roman"/>
                <w:sz w:val="2"/>
                <w:szCs w:val="2"/>
              </w:rPr>
            </w:pPr>
          </w:p>
        </w:tc>
        <w:tc>
          <w:tcPr>
            <w:tcW w:w="1616" w:type="dxa"/>
            <w:vAlign w:val="center"/>
          </w:tcPr>
          <w:p>
            <w:pPr>
              <w:spacing w:before="85"/>
              <w:ind w:left="148" w:right="142"/>
              <w:rPr>
                <w:rFonts w:hint="eastAsia" w:ascii="Times New Roman" w:hAnsi="Times New Roman" w:eastAsia="宋体" w:cs="Times New Roman"/>
                <w:b w:val="0"/>
                <w:bCs/>
                <w:lang w:val="en-US" w:eastAsia="zh-CN"/>
              </w:rPr>
            </w:pPr>
          </w:p>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粪大肠</w:t>
            </w:r>
          </w:p>
        </w:tc>
        <w:tc>
          <w:tcPr>
            <w:tcW w:w="2413"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隔水式恒温培养箱</w:t>
            </w:r>
          </w:p>
        </w:tc>
        <w:tc>
          <w:tcPr>
            <w:tcW w:w="1972"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GNP-9080BS-Ⅲ EQ-2-J020</w:t>
            </w:r>
          </w:p>
        </w:tc>
        <w:tc>
          <w:tcPr>
            <w:tcW w:w="1558" w:type="dxa"/>
            <w:vAlign w:val="center"/>
          </w:tcPr>
          <w:p>
            <w:pPr>
              <w:spacing w:before="85"/>
              <w:ind w:left="148" w:right="142"/>
              <w:rPr>
                <w:rFonts w:ascii="Times New Roman" w:hAnsi="Times New Roman" w:cs="Times New Roman"/>
                <w:sz w:val="21"/>
              </w:rPr>
            </w:pPr>
            <w:r>
              <w:rPr>
                <w:rFonts w:ascii="Times New Roman" w:hAnsi="Times New Roman" w:cs="Times New Roman"/>
                <w:b w:val="0"/>
                <w:bCs/>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809" w:type="dxa"/>
            <w:vMerge w:val="continue"/>
            <w:tcBorders>
              <w:top w:val="nil"/>
            </w:tcBorders>
            <w:vAlign w:val="center"/>
          </w:tcPr>
          <w:p>
            <w:pPr>
              <w:jc w:val="center"/>
              <w:rPr>
                <w:rFonts w:ascii="Times New Roman" w:hAnsi="Times New Roman" w:cs="Times New Roman"/>
                <w:sz w:val="2"/>
                <w:szCs w:val="2"/>
              </w:rPr>
            </w:pPr>
          </w:p>
        </w:tc>
        <w:tc>
          <w:tcPr>
            <w:tcW w:w="1616"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总氰化物</w:t>
            </w:r>
          </w:p>
        </w:tc>
        <w:tc>
          <w:tcPr>
            <w:tcW w:w="2413"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紫外可见分光光度计</w:t>
            </w:r>
          </w:p>
        </w:tc>
        <w:tc>
          <w:tcPr>
            <w:tcW w:w="1972"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EQ-2-J008 EQ-2-J036</w:t>
            </w:r>
          </w:p>
        </w:tc>
        <w:tc>
          <w:tcPr>
            <w:tcW w:w="1558" w:type="dxa"/>
            <w:vAlign w:val="center"/>
          </w:tcPr>
          <w:p>
            <w:pPr>
              <w:spacing w:before="87"/>
              <w:ind w:left="148" w:right="142"/>
              <w:rPr>
                <w:rFonts w:ascii="Times New Roman" w:hAnsi="Times New Roman" w:cs="Times New Roman"/>
                <w:sz w:val="21"/>
              </w:rPr>
            </w:pPr>
            <w:r>
              <w:rPr>
                <w:rFonts w:ascii="Times New Roman" w:hAnsi="Times New Roman" w:cs="Times New Roman"/>
                <w:b w:val="0"/>
                <w:bCs/>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9" w:type="dxa"/>
            <w:vMerge w:val="continue"/>
            <w:tcBorders>
              <w:top w:val="nil"/>
            </w:tcBorders>
            <w:vAlign w:val="center"/>
          </w:tcPr>
          <w:p>
            <w:pPr>
              <w:jc w:val="center"/>
              <w:rPr>
                <w:rFonts w:ascii="Times New Roman" w:hAnsi="Times New Roman" w:cs="Times New Roman"/>
                <w:sz w:val="2"/>
                <w:szCs w:val="2"/>
              </w:rPr>
            </w:pPr>
          </w:p>
        </w:tc>
        <w:tc>
          <w:tcPr>
            <w:tcW w:w="1616" w:type="dxa"/>
            <w:vAlign w:val="center"/>
          </w:tcPr>
          <w:p>
            <w:pPr>
              <w:spacing w:before="85"/>
              <w:ind w:left="148" w:right="142"/>
              <w:rPr>
                <w:rFonts w:hint="eastAsia" w:ascii="Times New Roman" w:hAnsi="Times New Roman" w:eastAsia="宋体" w:cs="Times New Roman"/>
                <w:b w:val="0"/>
                <w:bCs/>
                <w:lang w:val="en-US" w:eastAsia="zh-CN"/>
              </w:rPr>
            </w:pPr>
          </w:p>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五日生化需氧量</w:t>
            </w:r>
          </w:p>
        </w:tc>
        <w:tc>
          <w:tcPr>
            <w:tcW w:w="2413" w:type="dxa"/>
            <w:vAlign w:val="center"/>
          </w:tcPr>
          <w:p>
            <w:pPr>
              <w:spacing w:before="85"/>
              <w:ind w:left="148" w:right="142"/>
              <w:rPr>
                <w:rFonts w:hint="eastAsia" w:ascii="Times New Roman" w:hAnsi="Times New Roman" w:eastAsia="宋体" w:cs="Times New Roman"/>
                <w:b w:val="0"/>
                <w:bCs/>
                <w:lang w:val="en-US" w:eastAsia="zh-CN"/>
              </w:rPr>
            </w:pPr>
          </w:p>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生化培养箱</w:t>
            </w:r>
          </w:p>
        </w:tc>
        <w:tc>
          <w:tcPr>
            <w:tcW w:w="1972" w:type="dxa"/>
            <w:vAlign w:val="center"/>
          </w:tcPr>
          <w:p>
            <w:pPr>
              <w:spacing w:before="85"/>
              <w:ind w:left="148" w:right="142"/>
              <w:rPr>
                <w:rFonts w:hint="eastAsia" w:ascii="Times New Roman" w:hAnsi="Times New Roman" w:eastAsia="宋体" w:cs="Times New Roman"/>
                <w:b w:val="0"/>
                <w:bCs/>
                <w:lang w:val="en-US" w:eastAsia="zh-CN"/>
              </w:rPr>
            </w:pPr>
          </w:p>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BSP-250 EQ-2-J022</w:t>
            </w:r>
          </w:p>
        </w:tc>
        <w:tc>
          <w:tcPr>
            <w:tcW w:w="1558" w:type="dxa"/>
            <w:vAlign w:val="center"/>
          </w:tcPr>
          <w:p>
            <w:pPr>
              <w:spacing w:before="85"/>
              <w:ind w:left="148" w:right="142"/>
              <w:rPr>
                <w:rFonts w:ascii="Times New Roman" w:hAnsi="Times New Roman" w:cs="Times New Roman"/>
                <w:sz w:val="21"/>
              </w:rPr>
            </w:pPr>
            <w:r>
              <w:rPr>
                <w:rFonts w:ascii="Times New Roman" w:hAnsi="Times New Roman" w:cs="Times New Roman"/>
                <w:b w:val="0"/>
                <w:bCs/>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09" w:type="dxa"/>
            <w:vMerge w:val="continue"/>
            <w:tcBorders>
              <w:top w:val="nil"/>
            </w:tcBorders>
            <w:vAlign w:val="center"/>
          </w:tcPr>
          <w:p>
            <w:pPr>
              <w:jc w:val="center"/>
              <w:rPr>
                <w:rFonts w:ascii="Times New Roman" w:hAnsi="Times New Roman" w:cs="Times New Roman"/>
                <w:sz w:val="2"/>
                <w:szCs w:val="2"/>
              </w:rPr>
            </w:pPr>
          </w:p>
        </w:tc>
        <w:tc>
          <w:tcPr>
            <w:tcW w:w="1616" w:type="dxa"/>
            <w:vAlign w:val="center"/>
          </w:tcPr>
          <w:p>
            <w:pPr>
              <w:spacing w:before="85"/>
              <w:ind w:left="148" w:right="142"/>
              <w:rPr>
                <w:rFonts w:hint="eastAsia" w:ascii="Times New Roman" w:hAnsi="Times New Roman" w:eastAsia="宋体" w:cs="Times New Roman"/>
                <w:b w:val="0"/>
                <w:bCs/>
                <w:lang w:val="en-US" w:eastAsia="zh-CN"/>
              </w:rPr>
            </w:pPr>
          </w:p>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石油类</w:t>
            </w:r>
          </w:p>
        </w:tc>
        <w:tc>
          <w:tcPr>
            <w:tcW w:w="2413"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红外分光测油仪</w:t>
            </w:r>
          </w:p>
        </w:tc>
        <w:tc>
          <w:tcPr>
            <w:tcW w:w="1972"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OIL480 EQ-2-J007</w:t>
            </w:r>
          </w:p>
        </w:tc>
        <w:tc>
          <w:tcPr>
            <w:tcW w:w="1558" w:type="dxa"/>
            <w:vAlign w:val="center"/>
          </w:tcPr>
          <w:p>
            <w:pPr>
              <w:spacing w:before="85"/>
              <w:ind w:left="148" w:right="142"/>
              <w:rPr>
                <w:rFonts w:ascii="Times New Roman" w:hAnsi="Times New Roman" w:cs="Times New Roman"/>
                <w:sz w:val="21"/>
              </w:rPr>
            </w:pPr>
            <w:r>
              <w:rPr>
                <w:rFonts w:ascii="Times New Roman" w:hAnsi="Times New Roman" w:cs="Times New Roman"/>
                <w:b w:val="0"/>
                <w:bCs/>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809" w:type="dxa"/>
            <w:vMerge w:val="continue"/>
            <w:tcBorders>
              <w:top w:val="nil"/>
            </w:tcBorders>
            <w:vAlign w:val="center"/>
          </w:tcPr>
          <w:p>
            <w:pPr>
              <w:jc w:val="center"/>
              <w:rPr>
                <w:rFonts w:ascii="Times New Roman" w:hAnsi="Times New Roman" w:cs="Times New Roman"/>
                <w:sz w:val="2"/>
                <w:szCs w:val="2"/>
              </w:rPr>
            </w:pPr>
          </w:p>
        </w:tc>
        <w:tc>
          <w:tcPr>
            <w:tcW w:w="1616"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挥发酚</w:t>
            </w:r>
          </w:p>
        </w:tc>
        <w:tc>
          <w:tcPr>
            <w:tcW w:w="2413"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紫外可见分光光度计</w:t>
            </w:r>
          </w:p>
        </w:tc>
        <w:tc>
          <w:tcPr>
            <w:tcW w:w="1972"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EQ-2-J008 EQ-2-J036</w:t>
            </w:r>
          </w:p>
        </w:tc>
        <w:tc>
          <w:tcPr>
            <w:tcW w:w="1558" w:type="dxa"/>
            <w:vAlign w:val="center"/>
          </w:tcPr>
          <w:p>
            <w:pPr>
              <w:spacing w:before="85"/>
              <w:ind w:left="148" w:right="142"/>
              <w:rPr>
                <w:rFonts w:ascii="Times New Roman" w:hAnsi="Times New Roman" w:cs="Times New Roman"/>
                <w:sz w:val="21"/>
              </w:rPr>
            </w:pPr>
            <w:r>
              <w:rPr>
                <w:rFonts w:ascii="Times New Roman" w:hAnsi="Times New Roman" w:cs="Times New Roman"/>
                <w:b w:val="0"/>
                <w:bCs/>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09" w:type="dxa"/>
            <w:vMerge w:val="continue"/>
            <w:tcBorders>
              <w:top w:val="nil"/>
            </w:tcBorders>
            <w:vAlign w:val="center"/>
          </w:tcPr>
          <w:p>
            <w:pPr>
              <w:jc w:val="center"/>
              <w:rPr>
                <w:rFonts w:ascii="Times New Roman" w:hAnsi="Times New Roman" w:cs="Times New Roman"/>
                <w:sz w:val="2"/>
                <w:szCs w:val="2"/>
              </w:rPr>
            </w:pPr>
          </w:p>
        </w:tc>
        <w:tc>
          <w:tcPr>
            <w:tcW w:w="1616" w:type="dxa"/>
            <w:vAlign w:val="center"/>
          </w:tcPr>
          <w:p>
            <w:pPr>
              <w:spacing w:before="85"/>
              <w:ind w:left="148" w:right="142"/>
              <w:rPr>
                <w:rFonts w:hint="eastAsia" w:ascii="Times New Roman" w:hAnsi="Times New Roman" w:eastAsia="宋体" w:cs="Times New Roman"/>
                <w:b w:val="0"/>
                <w:bCs/>
                <w:lang w:val="en-US" w:eastAsia="zh-CN"/>
              </w:rPr>
            </w:pPr>
          </w:p>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动植物油</w:t>
            </w:r>
          </w:p>
        </w:tc>
        <w:tc>
          <w:tcPr>
            <w:tcW w:w="2413" w:type="dxa"/>
            <w:vAlign w:val="center"/>
          </w:tcPr>
          <w:p>
            <w:pPr>
              <w:spacing w:before="85"/>
              <w:ind w:left="148" w:right="142"/>
              <w:rPr>
                <w:rFonts w:hint="eastAsia" w:ascii="Times New Roman" w:hAnsi="Times New Roman" w:eastAsia="宋体" w:cs="Times New Roman"/>
                <w:b w:val="0"/>
                <w:bCs/>
                <w:lang w:val="en-US" w:eastAsia="zh-CN"/>
              </w:rPr>
            </w:pPr>
          </w:p>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红外分光测油仪</w:t>
            </w:r>
          </w:p>
        </w:tc>
        <w:tc>
          <w:tcPr>
            <w:tcW w:w="1972" w:type="dxa"/>
            <w:vAlign w:val="center"/>
          </w:tcPr>
          <w:p>
            <w:pPr>
              <w:spacing w:before="85"/>
              <w:ind w:left="148" w:right="142"/>
              <w:rPr>
                <w:rFonts w:hint="eastAsia" w:ascii="Times New Roman" w:hAnsi="Times New Roman" w:eastAsia="宋体" w:cs="Times New Roman"/>
                <w:b w:val="0"/>
                <w:bCs/>
                <w:lang w:val="en-US" w:eastAsia="zh-CN"/>
              </w:rPr>
            </w:pPr>
          </w:p>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OIL480 EQ-2-J007</w:t>
            </w:r>
          </w:p>
        </w:tc>
        <w:tc>
          <w:tcPr>
            <w:tcW w:w="1558" w:type="dxa"/>
            <w:vAlign w:val="center"/>
          </w:tcPr>
          <w:p>
            <w:pPr>
              <w:spacing w:before="85"/>
              <w:ind w:left="148" w:right="142"/>
              <w:rPr>
                <w:rFonts w:ascii="Times New Roman" w:hAnsi="Times New Roman" w:cs="Times New Roman"/>
                <w:sz w:val="21"/>
              </w:rPr>
            </w:pPr>
            <w:r>
              <w:rPr>
                <w:rFonts w:ascii="Times New Roman" w:hAnsi="Times New Roman" w:cs="Times New Roman"/>
                <w:b w:val="0"/>
                <w:bCs/>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809" w:type="dxa"/>
            <w:vMerge w:val="continue"/>
            <w:tcBorders>
              <w:top w:val="nil"/>
            </w:tcBorders>
            <w:vAlign w:val="center"/>
          </w:tcPr>
          <w:p>
            <w:pPr>
              <w:jc w:val="center"/>
              <w:rPr>
                <w:rFonts w:ascii="Times New Roman" w:hAnsi="Times New Roman" w:cs="Times New Roman"/>
                <w:sz w:val="2"/>
                <w:szCs w:val="2"/>
              </w:rPr>
            </w:pPr>
          </w:p>
        </w:tc>
        <w:tc>
          <w:tcPr>
            <w:tcW w:w="1616"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阴离子表面活性剂</w:t>
            </w:r>
          </w:p>
        </w:tc>
        <w:tc>
          <w:tcPr>
            <w:tcW w:w="2413"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紫外可见分光光度计</w:t>
            </w:r>
          </w:p>
        </w:tc>
        <w:tc>
          <w:tcPr>
            <w:tcW w:w="1972" w:type="dxa"/>
            <w:vAlign w:val="center"/>
          </w:tcPr>
          <w:p>
            <w:pPr>
              <w:spacing w:before="85"/>
              <w:ind w:left="148" w:right="142"/>
              <w:rPr>
                <w:rFonts w:ascii="Times New Roman" w:hAnsi="Times New Roman" w:eastAsia="宋体" w:cs="Times New Roman"/>
                <w:b w:val="0"/>
                <w:bCs/>
              </w:rPr>
            </w:pPr>
            <w:r>
              <w:rPr>
                <w:rFonts w:hint="eastAsia" w:ascii="Times New Roman" w:hAnsi="Times New Roman" w:eastAsia="宋体" w:cs="Times New Roman"/>
                <w:b w:val="0"/>
                <w:bCs/>
                <w:lang w:val="en-US" w:eastAsia="zh-CN"/>
              </w:rPr>
              <w:t>EQ-2-J008 EQ-2-J036</w:t>
            </w:r>
          </w:p>
        </w:tc>
        <w:tc>
          <w:tcPr>
            <w:tcW w:w="1558" w:type="dxa"/>
            <w:vAlign w:val="center"/>
          </w:tcPr>
          <w:p>
            <w:pPr>
              <w:ind w:left="148" w:right="142"/>
              <w:rPr>
                <w:rFonts w:ascii="Times New Roman" w:hAnsi="Times New Roman" w:cs="Times New Roman"/>
                <w:sz w:val="21"/>
              </w:rPr>
            </w:pPr>
            <w:r>
              <w:rPr>
                <w:rFonts w:ascii="Times New Roman" w:hAnsi="Times New Roman" w:cs="Times New Roman"/>
                <w:b w:val="0"/>
                <w:bCs/>
              </w:rPr>
              <w:t>第三方检测</w:t>
            </w:r>
          </w:p>
        </w:tc>
      </w:tr>
    </w:tbl>
    <w:p>
      <w:pPr>
        <w:pStyle w:val="20"/>
        <w:rPr>
          <w:rFonts w:cs="Times New Roman"/>
        </w:rPr>
      </w:pPr>
      <w:r>
        <w:rPr>
          <w:rFonts w:cs="Times New Roman"/>
        </w:rPr>
        <w:t>表 14</w:t>
      </w:r>
      <w:r>
        <w:rPr>
          <w:rFonts w:cs="Times New Roman"/>
        </w:rPr>
        <w:tab/>
      </w:r>
      <w:r>
        <w:rPr>
          <w:rFonts w:cs="Times New Roman"/>
        </w:rPr>
        <w:t>废水排放自动监测仪器设备表</w:t>
      </w:r>
    </w:p>
    <w:tbl>
      <w:tblPr>
        <w:tblStyle w:val="21"/>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1700"/>
        <w:gridCol w:w="1844"/>
        <w:gridCol w:w="1844"/>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06" w:type="dxa"/>
          </w:tcPr>
          <w:p>
            <w:pPr>
              <w:pStyle w:val="15"/>
              <w:spacing w:before="85"/>
              <w:ind w:left="230"/>
              <w:jc w:val="left"/>
              <w:rPr>
                <w:rFonts w:ascii="Times New Roman" w:hAnsi="Times New Roman" w:cs="Times New Roman"/>
                <w:b/>
                <w:sz w:val="21"/>
              </w:rPr>
            </w:pPr>
            <w:r>
              <w:rPr>
                <w:rFonts w:ascii="Times New Roman" w:hAnsi="Times New Roman" w:cs="Times New Roman"/>
                <w:b/>
                <w:sz w:val="21"/>
              </w:rPr>
              <w:t>监测点位</w:t>
            </w:r>
          </w:p>
        </w:tc>
        <w:tc>
          <w:tcPr>
            <w:tcW w:w="1700" w:type="dxa"/>
          </w:tcPr>
          <w:p>
            <w:pPr>
              <w:pStyle w:val="15"/>
              <w:spacing w:before="85"/>
              <w:ind w:left="409" w:right="397"/>
              <w:rPr>
                <w:rFonts w:ascii="Times New Roman" w:hAnsi="Times New Roman" w:cs="Times New Roman"/>
                <w:b/>
                <w:sz w:val="21"/>
              </w:rPr>
            </w:pPr>
            <w:r>
              <w:rPr>
                <w:rFonts w:ascii="Times New Roman" w:hAnsi="Times New Roman" w:cs="Times New Roman"/>
                <w:b/>
                <w:sz w:val="21"/>
              </w:rPr>
              <w:t>监测项目</w:t>
            </w:r>
          </w:p>
        </w:tc>
        <w:tc>
          <w:tcPr>
            <w:tcW w:w="1844" w:type="dxa"/>
          </w:tcPr>
          <w:p>
            <w:pPr>
              <w:pStyle w:val="15"/>
              <w:spacing w:before="85"/>
              <w:ind w:left="328" w:right="321"/>
              <w:rPr>
                <w:rFonts w:ascii="Times New Roman" w:hAnsi="Times New Roman" w:cs="Times New Roman"/>
                <w:b/>
                <w:sz w:val="21"/>
              </w:rPr>
            </w:pPr>
            <w:r>
              <w:rPr>
                <w:rFonts w:ascii="Times New Roman" w:hAnsi="Times New Roman" w:cs="Times New Roman"/>
                <w:b/>
                <w:sz w:val="21"/>
              </w:rPr>
              <w:t>仪器厂家</w:t>
            </w:r>
          </w:p>
        </w:tc>
        <w:tc>
          <w:tcPr>
            <w:tcW w:w="1844" w:type="dxa"/>
          </w:tcPr>
          <w:p>
            <w:pPr>
              <w:pStyle w:val="15"/>
              <w:spacing w:before="85"/>
              <w:ind w:left="327" w:right="321"/>
              <w:rPr>
                <w:rFonts w:ascii="Times New Roman" w:hAnsi="Times New Roman" w:cs="Times New Roman"/>
                <w:b/>
                <w:sz w:val="21"/>
              </w:rPr>
            </w:pPr>
            <w:r>
              <w:rPr>
                <w:rFonts w:ascii="Times New Roman" w:hAnsi="Times New Roman" w:cs="Times New Roman"/>
                <w:b/>
                <w:sz w:val="21"/>
              </w:rPr>
              <w:t>规格型号</w:t>
            </w:r>
          </w:p>
        </w:tc>
        <w:tc>
          <w:tcPr>
            <w:tcW w:w="1674" w:type="dxa"/>
          </w:tcPr>
          <w:p>
            <w:pPr>
              <w:pStyle w:val="15"/>
              <w:spacing w:before="85"/>
              <w:ind w:left="288" w:right="285"/>
              <w:rPr>
                <w:rFonts w:ascii="Times New Roman" w:hAnsi="Times New Roman" w:cs="Times New Roman"/>
                <w:b/>
                <w:sz w:val="21"/>
              </w:rPr>
            </w:pPr>
            <w:r>
              <w:rPr>
                <w:rFonts w:ascii="Times New Roman" w:hAnsi="Times New Roman"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06" w:type="dxa"/>
            <w:vMerge w:val="restart"/>
            <w:vAlign w:val="center"/>
          </w:tcPr>
          <w:p>
            <w:pPr>
              <w:pStyle w:val="15"/>
              <w:ind w:left="124"/>
              <w:rPr>
                <w:rFonts w:ascii="Times New Roman" w:hAnsi="Times New Roman" w:cs="Times New Roman"/>
                <w:b/>
                <w:sz w:val="21"/>
              </w:rPr>
            </w:pPr>
            <w:r>
              <w:rPr>
                <w:rFonts w:ascii="Times New Roman" w:hAnsi="Times New Roman" w:cs="Times New Roman"/>
                <w:sz w:val="21"/>
              </w:rPr>
              <w:t>废水排放口</w:t>
            </w:r>
          </w:p>
        </w:tc>
        <w:tc>
          <w:tcPr>
            <w:tcW w:w="1700" w:type="dxa"/>
            <w:vAlign w:val="center"/>
          </w:tcPr>
          <w:p>
            <w:pPr>
              <w:pStyle w:val="15"/>
              <w:spacing w:before="85"/>
              <w:ind w:left="409" w:right="397"/>
              <w:rPr>
                <w:rFonts w:ascii="Times New Roman" w:hAnsi="Times New Roman" w:cs="Times New Roman"/>
                <w:b/>
                <w:sz w:val="21"/>
              </w:rPr>
            </w:pPr>
            <w:r>
              <w:rPr>
                <w:rFonts w:ascii="Times New Roman" w:hAnsi="Times New Roman" w:cs="Times New Roman"/>
                <w:sz w:val="21"/>
              </w:rPr>
              <w:t>流量</w:t>
            </w:r>
          </w:p>
        </w:tc>
        <w:tc>
          <w:tcPr>
            <w:tcW w:w="1844" w:type="dxa"/>
            <w:vAlign w:val="center"/>
          </w:tcPr>
          <w:p>
            <w:pPr>
              <w:pStyle w:val="15"/>
              <w:spacing w:before="85"/>
              <w:ind w:left="328" w:right="321"/>
              <w:rPr>
                <w:rFonts w:ascii="Times New Roman" w:hAnsi="Times New Roman" w:cs="Times New Roman"/>
                <w:b/>
                <w:sz w:val="21"/>
              </w:rPr>
            </w:pPr>
            <w:r>
              <w:rPr>
                <w:rFonts w:ascii="Times New Roman" w:hAnsi="Times New Roman" w:cs="Times New Roman"/>
                <w:sz w:val="21"/>
              </w:rPr>
              <w:t>北京九波</w:t>
            </w:r>
          </w:p>
        </w:tc>
        <w:tc>
          <w:tcPr>
            <w:tcW w:w="1844" w:type="dxa"/>
            <w:vAlign w:val="center"/>
          </w:tcPr>
          <w:p>
            <w:pPr>
              <w:pStyle w:val="15"/>
              <w:spacing w:before="85"/>
              <w:ind w:left="327" w:right="321"/>
              <w:rPr>
                <w:rFonts w:ascii="Times New Roman" w:hAnsi="Times New Roman" w:cs="Times New Roman"/>
                <w:b/>
                <w:sz w:val="21"/>
              </w:rPr>
            </w:pPr>
            <w:r>
              <w:rPr>
                <w:rFonts w:ascii="Times New Roman" w:hAnsi="Times New Roman" w:cs="Times New Roman"/>
                <w:sz w:val="21"/>
              </w:rPr>
              <w:t>WL-1A1</w:t>
            </w:r>
          </w:p>
        </w:tc>
        <w:tc>
          <w:tcPr>
            <w:tcW w:w="1674" w:type="dxa"/>
            <w:vAlign w:val="center"/>
          </w:tcPr>
          <w:p>
            <w:pPr>
              <w:pStyle w:val="15"/>
              <w:spacing w:before="85"/>
              <w:ind w:left="288" w:right="285"/>
              <w:rPr>
                <w:rFonts w:ascii="Times New Roman" w:hAnsi="Times New Roman" w:cs="Times New Roman"/>
                <w:bCs/>
                <w:sz w:val="21"/>
              </w:rPr>
            </w:pPr>
            <w:r>
              <w:rPr>
                <w:rFonts w:ascii="Times New Roman" w:hAnsi="Times New Roman" w:cs="Times New Roman"/>
                <w:bCs/>
                <w:sz w:val="21"/>
              </w:rPr>
              <w:t>第三方运维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06" w:type="dxa"/>
            <w:vMerge w:val="continue"/>
          </w:tcPr>
          <w:p>
            <w:pPr>
              <w:pStyle w:val="15"/>
              <w:ind w:left="124"/>
              <w:jc w:val="left"/>
              <w:rPr>
                <w:rFonts w:ascii="Times New Roman" w:hAnsi="Times New Roman" w:cs="Times New Roman"/>
                <w:b/>
                <w:sz w:val="21"/>
              </w:rPr>
            </w:pPr>
          </w:p>
        </w:tc>
        <w:tc>
          <w:tcPr>
            <w:tcW w:w="1700" w:type="dxa"/>
          </w:tcPr>
          <w:p>
            <w:pPr>
              <w:pStyle w:val="15"/>
              <w:spacing w:before="85"/>
              <w:ind w:left="409" w:right="397"/>
              <w:rPr>
                <w:rFonts w:ascii="Times New Roman" w:hAnsi="Times New Roman" w:cs="Times New Roman"/>
                <w:b/>
                <w:sz w:val="21"/>
              </w:rPr>
            </w:pPr>
            <w:r>
              <w:rPr>
                <w:rFonts w:ascii="Times New Roman" w:hAnsi="Times New Roman" w:cs="Times New Roman"/>
                <w:sz w:val="21"/>
              </w:rPr>
              <w:t>pH</w:t>
            </w:r>
          </w:p>
        </w:tc>
        <w:tc>
          <w:tcPr>
            <w:tcW w:w="1844" w:type="dxa"/>
          </w:tcPr>
          <w:p>
            <w:pPr>
              <w:pStyle w:val="15"/>
              <w:spacing w:before="85"/>
              <w:ind w:left="328" w:right="321"/>
              <w:rPr>
                <w:rFonts w:ascii="Times New Roman" w:hAnsi="Times New Roman" w:cs="Times New Roman"/>
                <w:b/>
                <w:sz w:val="21"/>
              </w:rPr>
            </w:pPr>
            <w:r>
              <w:rPr>
                <w:rFonts w:ascii="Times New Roman" w:hAnsi="Times New Roman" w:cs="Times New Roman"/>
                <w:sz w:val="21"/>
              </w:rPr>
              <w:t>昆山上泰</w:t>
            </w:r>
          </w:p>
        </w:tc>
        <w:tc>
          <w:tcPr>
            <w:tcW w:w="1844" w:type="dxa"/>
          </w:tcPr>
          <w:p>
            <w:pPr>
              <w:pStyle w:val="15"/>
              <w:spacing w:before="85"/>
              <w:ind w:left="327" w:right="321"/>
              <w:rPr>
                <w:rFonts w:ascii="Times New Roman" w:hAnsi="Times New Roman" w:cs="Times New Roman"/>
                <w:b/>
                <w:sz w:val="21"/>
              </w:rPr>
            </w:pPr>
            <w:r>
              <w:rPr>
                <w:rFonts w:ascii="Times New Roman" w:hAnsi="Times New Roman" w:cs="Times New Roman"/>
                <w:sz w:val="21"/>
              </w:rPr>
              <w:t>PC-3110</w:t>
            </w:r>
          </w:p>
        </w:tc>
        <w:tc>
          <w:tcPr>
            <w:tcW w:w="1674" w:type="dxa"/>
          </w:tcPr>
          <w:p>
            <w:pPr>
              <w:pStyle w:val="15"/>
              <w:spacing w:before="85"/>
              <w:ind w:left="288" w:right="285"/>
              <w:rPr>
                <w:rFonts w:ascii="Times New Roman" w:hAnsi="Times New Roman" w:cs="Times New Roman"/>
                <w:b/>
                <w:sz w:val="21"/>
              </w:rPr>
            </w:pPr>
            <w:r>
              <w:rPr>
                <w:rFonts w:ascii="Times New Roman" w:hAnsi="Times New Roman" w:cs="Times New Roman"/>
                <w:bCs/>
                <w:sz w:val="21"/>
              </w:rPr>
              <w:t>第三方运维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06" w:type="dxa"/>
            <w:vMerge w:val="continue"/>
          </w:tcPr>
          <w:p>
            <w:pPr>
              <w:pStyle w:val="15"/>
              <w:ind w:left="124"/>
              <w:jc w:val="left"/>
              <w:rPr>
                <w:rFonts w:ascii="Times New Roman" w:hAnsi="Times New Roman" w:cs="Times New Roman"/>
                <w:sz w:val="21"/>
              </w:rPr>
            </w:pPr>
          </w:p>
        </w:tc>
        <w:tc>
          <w:tcPr>
            <w:tcW w:w="1700" w:type="dxa"/>
          </w:tcPr>
          <w:p>
            <w:pPr>
              <w:pStyle w:val="15"/>
              <w:spacing w:before="87"/>
              <w:ind w:left="409" w:right="397"/>
              <w:rPr>
                <w:rFonts w:ascii="Times New Roman" w:hAnsi="Times New Roman" w:cs="Times New Roman"/>
                <w:sz w:val="21"/>
              </w:rPr>
            </w:pPr>
            <w:r>
              <w:rPr>
                <w:rFonts w:ascii="Times New Roman" w:hAnsi="Times New Roman" w:cs="Times New Roman"/>
                <w:sz w:val="21"/>
              </w:rPr>
              <w:t>COD</w:t>
            </w:r>
          </w:p>
        </w:tc>
        <w:tc>
          <w:tcPr>
            <w:tcW w:w="1844" w:type="dxa"/>
          </w:tcPr>
          <w:p>
            <w:pPr>
              <w:pStyle w:val="15"/>
              <w:spacing w:before="87"/>
              <w:ind w:left="328" w:right="321"/>
              <w:rPr>
                <w:rFonts w:ascii="Times New Roman" w:hAnsi="Times New Roman" w:cs="Times New Roman"/>
                <w:sz w:val="21"/>
              </w:rPr>
            </w:pPr>
            <w:r>
              <w:rPr>
                <w:rFonts w:ascii="Times New Roman" w:hAnsi="Times New Roman" w:cs="Times New Roman"/>
                <w:sz w:val="21"/>
              </w:rPr>
              <w:t>江苏锐泉</w:t>
            </w:r>
          </w:p>
        </w:tc>
        <w:tc>
          <w:tcPr>
            <w:tcW w:w="1844" w:type="dxa"/>
          </w:tcPr>
          <w:p>
            <w:pPr>
              <w:pStyle w:val="15"/>
              <w:spacing w:before="101"/>
              <w:ind w:left="329" w:right="320"/>
              <w:rPr>
                <w:rFonts w:ascii="Times New Roman" w:hAnsi="Times New Roman" w:cs="Times New Roman"/>
                <w:sz w:val="21"/>
              </w:rPr>
            </w:pPr>
            <w:r>
              <w:rPr>
                <w:rFonts w:ascii="Times New Roman" w:hAnsi="Times New Roman" w:cs="Times New Roman"/>
                <w:sz w:val="21"/>
              </w:rPr>
              <w:t>RENQ-IV</w:t>
            </w:r>
          </w:p>
        </w:tc>
        <w:tc>
          <w:tcPr>
            <w:tcW w:w="1674" w:type="dxa"/>
          </w:tcPr>
          <w:p>
            <w:pPr>
              <w:pStyle w:val="15"/>
              <w:spacing w:before="87"/>
              <w:ind w:left="289" w:right="285"/>
              <w:rPr>
                <w:rFonts w:ascii="Times New Roman" w:hAnsi="Times New Roman" w:cs="Times New Roman"/>
                <w:sz w:val="21"/>
              </w:rPr>
            </w:pPr>
            <w:r>
              <w:rPr>
                <w:rFonts w:ascii="Times New Roman" w:hAnsi="Times New Roman" w:cs="Times New Roman"/>
                <w:bCs/>
                <w:sz w:val="21"/>
              </w:rPr>
              <w:t>第三方运维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06" w:type="dxa"/>
            <w:vMerge w:val="continue"/>
          </w:tcPr>
          <w:p>
            <w:pPr>
              <w:rPr>
                <w:rFonts w:ascii="Times New Roman" w:hAnsi="Times New Roman" w:cs="Times New Roman"/>
                <w:sz w:val="2"/>
                <w:szCs w:val="2"/>
              </w:rPr>
            </w:pPr>
          </w:p>
        </w:tc>
        <w:tc>
          <w:tcPr>
            <w:tcW w:w="1700" w:type="dxa"/>
          </w:tcPr>
          <w:p>
            <w:pPr>
              <w:pStyle w:val="15"/>
              <w:spacing w:before="99"/>
              <w:ind w:left="408" w:right="397"/>
              <w:rPr>
                <w:rFonts w:ascii="Times New Roman" w:hAnsi="Times New Roman" w:cs="Times New Roman"/>
                <w:sz w:val="21"/>
              </w:rPr>
            </w:pPr>
            <w:r>
              <w:rPr>
                <w:rFonts w:ascii="Times New Roman" w:hAnsi="Times New Roman" w:cs="Times New Roman"/>
                <w:sz w:val="21"/>
              </w:rPr>
              <w:t>总余氯</w:t>
            </w:r>
          </w:p>
        </w:tc>
        <w:tc>
          <w:tcPr>
            <w:tcW w:w="1844" w:type="dxa"/>
          </w:tcPr>
          <w:p>
            <w:pPr>
              <w:pStyle w:val="15"/>
              <w:spacing w:before="85"/>
              <w:ind w:left="328" w:right="321"/>
              <w:rPr>
                <w:rFonts w:ascii="Times New Roman" w:hAnsi="Times New Roman" w:cs="Times New Roman"/>
                <w:sz w:val="21"/>
              </w:rPr>
            </w:pPr>
            <w:r>
              <w:rPr>
                <w:rFonts w:ascii="Times New Roman" w:hAnsi="Times New Roman" w:cs="Times New Roman"/>
                <w:sz w:val="21"/>
              </w:rPr>
              <w:t>浙江先河</w:t>
            </w:r>
          </w:p>
        </w:tc>
        <w:tc>
          <w:tcPr>
            <w:tcW w:w="1844" w:type="dxa"/>
          </w:tcPr>
          <w:p>
            <w:pPr>
              <w:pStyle w:val="15"/>
              <w:spacing w:before="99"/>
              <w:ind w:left="329" w:right="320"/>
              <w:rPr>
                <w:rFonts w:ascii="Times New Roman" w:hAnsi="Times New Roman" w:cs="Times New Roman"/>
                <w:sz w:val="21"/>
              </w:rPr>
            </w:pPr>
            <w:r>
              <w:rPr>
                <w:rFonts w:ascii="Times New Roman" w:hAnsi="Times New Roman" w:cs="Times New Roman"/>
                <w:sz w:val="21"/>
              </w:rPr>
              <w:t>CL9650</w:t>
            </w:r>
          </w:p>
        </w:tc>
        <w:tc>
          <w:tcPr>
            <w:tcW w:w="1674" w:type="dxa"/>
          </w:tcPr>
          <w:p>
            <w:pPr>
              <w:pStyle w:val="15"/>
              <w:spacing w:before="85"/>
              <w:ind w:left="289" w:right="285"/>
              <w:rPr>
                <w:rFonts w:ascii="Times New Roman" w:hAnsi="Times New Roman" w:cs="Times New Roman"/>
                <w:sz w:val="21"/>
              </w:rPr>
            </w:pPr>
            <w:r>
              <w:rPr>
                <w:rFonts w:ascii="Times New Roman" w:hAnsi="Times New Roman" w:cs="Times New Roman"/>
                <w:bCs/>
                <w:sz w:val="21"/>
              </w:rPr>
              <w:t>第三方运维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06" w:type="dxa"/>
            <w:vMerge w:val="continue"/>
          </w:tcPr>
          <w:p>
            <w:pPr>
              <w:rPr>
                <w:rFonts w:ascii="Times New Roman" w:hAnsi="Times New Roman" w:cs="Times New Roman"/>
                <w:sz w:val="2"/>
                <w:szCs w:val="2"/>
              </w:rPr>
            </w:pPr>
          </w:p>
        </w:tc>
        <w:tc>
          <w:tcPr>
            <w:tcW w:w="1700" w:type="dxa"/>
            <w:vAlign w:val="center"/>
          </w:tcPr>
          <w:p>
            <w:pPr>
              <w:pStyle w:val="15"/>
              <w:spacing w:before="85"/>
              <w:ind w:left="409" w:right="397"/>
              <w:rPr>
                <w:rFonts w:ascii="Times New Roman" w:hAnsi="Times New Roman" w:cs="Times New Roman"/>
                <w:sz w:val="21"/>
              </w:rPr>
            </w:pPr>
            <w:r>
              <w:rPr>
                <w:rFonts w:ascii="Times New Roman" w:hAnsi="Times New Roman" w:cs="Times New Roman"/>
                <w:sz w:val="21"/>
              </w:rPr>
              <w:t>数采仪</w:t>
            </w:r>
          </w:p>
        </w:tc>
        <w:tc>
          <w:tcPr>
            <w:tcW w:w="1844" w:type="dxa"/>
            <w:vAlign w:val="center"/>
          </w:tcPr>
          <w:p>
            <w:pPr>
              <w:pStyle w:val="15"/>
              <w:spacing w:before="85"/>
              <w:ind w:left="409" w:right="321"/>
              <w:rPr>
                <w:rFonts w:ascii="Times New Roman" w:hAnsi="Times New Roman" w:cs="Times New Roman"/>
                <w:sz w:val="21"/>
              </w:rPr>
            </w:pPr>
            <w:r>
              <w:rPr>
                <w:rFonts w:ascii="Times New Roman" w:hAnsi="Times New Roman" w:cs="Times New Roman"/>
                <w:sz w:val="21"/>
              </w:rPr>
              <w:t>南京港能</w:t>
            </w:r>
          </w:p>
        </w:tc>
        <w:tc>
          <w:tcPr>
            <w:tcW w:w="1844" w:type="dxa"/>
            <w:vAlign w:val="center"/>
          </w:tcPr>
          <w:p>
            <w:pPr>
              <w:pStyle w:val="15"/>
              <w:spacing w:before="85"/>
              <w:ind w:left="409" w:right="321"/>
              <w:rPr>
                <w:rFonts w:ascii="Times New Roman" w:hAnsi="Times New Roman" w:cs="Times New Roman"/>
                <w:sz w:val="21"/>
              </w:rPr>
            </w:pPr>
            <w:r>
              <w:rPr>
                <w:rFonts w:ascii="Times New Roman" w:hAnsi="Times New Roman" w:cs="Times New Roman"/>
                <w:sz w:val="21"/>
              </w:rPr>
              <w:t>TPC7000</w:t>
            </w:r>
          </w:p>
        </w:tc>
        <w:tc>
          <w:tcPr>
            <w:tcW w:w="1674" w:type="dxa"/>
          </w:tcPr>
          <w:p>
            <w:pPr>
              <w:pStyle w:val="15"/>
              <w:spacing w:before="85"/>
              <w:ind w:left="289" w:right="285"/>
              <w:rPr>
                <w:rFonts w:ascii="Times New Roman" w:hAnsi="Times New Roman" w:cs="Times New Roman"/>
                <w:sz w:val="21"/>
              </w:rPr>
            </w:pPr>
            <w:r>
              <w:rPr>
                <w:rFonts w:ascii="Times New Roman" w:hAnsi="Times New Roman" w:cs="Times New Roman"/>
                <w:bCs/>
                <w:sz w:val="21"/>
              </w:rPr>
              <w:t>第三方运维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06" w:type="dxa"/>
            <w:vMerge w:val="continue"/>
          </w:tcPr>
          <w:p>
            <w:pPr>
              <w:rPr>
                <w:rFonts w:ascii="Times New Roman" w:hAnsi="Times New Roman" w:cs="Times New Roman"/>
                <w:sz w:val="2"/>
                <w:szCs w:val="2"/>
              </w:rPr>
            </w:pPr>
          </w:p>
        </w:tc>
        <w:tc>
          <w:tcPr>
            <w:tcW w:w="1700" w:type="dxa"/>
            <w:vAlign w:val="center"/>
          </w:tcPr>
          <w:p>
            <w:pPr>
              <w:pStyle w:val="15"/>
              <w:spacing w:before="85"/>
              <w:ind w:left="409" w:right="397"/>
              <w:rPr>
                <w:rFonts w:ascii="Times New Roman" w:hAnsi="Times New Roman" w:cs="Times New Roman"/>
                <w:sz w:val="21"/>
              </w:rPr>
            </w:pPr>
            <w:r>
              <w:rPr>
                <w:rFonts w:ascii="Times New Roman" w:hAnsi="Times New Roman" w:cs="Times New Roman"/>
                <w:sz w:val="21"/>
              </w:rPr>
              <w:t>自动采样器</w:t>
            </w:r>
          </w:p>
        </w:tc>
        <w:tc>
          <w:tcPr>
            <w:tcW w:w="1844" w:type="dxa"/>
            <w:vAlign w:val="center"/>
          </w:tcPr>
          <w:p>
            <w:pPr>
              <w:pStyle w:val="15"/>
              <w:spacing w:before="85"/>
              <w:ind w:left="328" w:right="321"/>
              <w:rPr>
                <w:rFonts w:ascii="Times New Roman" w:hAnsi="Times New Roman" w:cs="Times New Roman"/>
                <w:sz w:val="21"/>
              </w:rPr>
            </w:pPr>
            <w:r>
              <w:rPr>
                <w:rFonts w:ascii="Times New Roman" w:hAnsi="Times New Roman" w:cs="Times New Roman"/>
                <w:sz w:val="21"/>
              </w:rPr>
              <w:t>浙江恒达</w:t>
            </w:r>
          </w:p>
        </w:tc>
        <w:tc>
          <w:tcPr>
            <w:tcW w:w="1844" w:type="dxa"/>
            <w:vAlign w:val="center"/>
          </w:tcPr>
          <w:p>
            <w:pPr>
              <w:pStyle w:val="15"/>
              <w:spacing w:before="99"/>
              <w:ind w:left="329" w:right="321"/>
              <w:rPr>
                <w:rFonts w:ascii="Times New Roman" w:hAnsi="Times New Roman" w:cs="Times New Roman"/>
                <w:sz w:val="21"/>
              </w:rPr>
            </w:pPr>
            <w:r>
              <w:rPr>
                <w:rFonts w:ascii="Times New Roman" w:hAnsi="Times New Roman" w:cs="Times New Roman"/>
                <w:sz w:val="21"/>
              </w:rPr>
              <w:t>ZSC-IX</w:t>
            </w:r>
          </w:p>
        </w:tc>
        <w:tc>
          <w:tcPr>
            <w:tcW w:w="1674" w:type="dxa"/>
          </w:tcPr>
          <w:p>
            <w:pPr>
              <w:pStyle w:val="15"/>
              <w:spacing w:before="85"/>
              <w:ind w:left="289" w:right="285"/>
              <w:rPr>
                <w:rFonts w:ascii="Times New Roman" w:hAnsi="Times New Roman" w:cs="Times New Roman"/>
                <w:sz w:val="21"/>
              </w:rPr>
            </w:pPr>
            <w:r>
              <w:rPr>
                <w:rFonts w:ascii="Times New Roman" w:hAnsi="Times New Roman" w:cs="Times New Roman"/>
                <w:bCs/>
                <w:sz w:val="21"/>
              </w:rPr>
              <w:t>第三方运维</w:t>
            </w:r>
          </w:p>
        </w:tc>
      </w:tr>
    </w:tbl>
    <w:p>
      <w:pPr>
        <w:pStyle w:val="4"/>
        <w:spacing w:before="156"/>
        <w:rPr>
          <w:rFonts w:ascii="Times New Roman" w:hAnsi="Times New Roman" w:cs="Times New Roman"/>
        </w:rPr>
      </w:pPr>
      <w:r>
        <w:rPr>
          <w:rFonts w:ascii="Times New Roman" w:hAnsi="Times New Roman" w:cs="Times New Roman"/>
        </w:rPr>
        <w:t>（四）厂界噪声监测方案</w:t>
      </w:r>
    </w:p>
    <w:p>
      <w:pPr>
        <w:pStyle w:val="2"/>
        <w:ind w:firstLine="480"/>
        <w:rPr>
          <w:rFonts w:ascii="Times New Roman" w:hAnsi="Times New Roman" w:cs="Times New Roman"/>
        </w:rPr>
      </w:pPr>
      <w:r>
        <w:rPr>
          <w:rFonts w:ascii="Times New Roman" w:hAnsi="Times New Roman" w:cs="Times New Roman"/>
        </w:rPr>
        <w:t>1、厂界噪声监测内容表 15。</w:t>
      </w:r>
    </w:p>
    <w:p>
      <w:pPr>
        <w:pStyle w:val="20"/>
        <w:rPr>
          <w:rFonts w:cs="Times New Roman"/>
        </w:rPr>
      </w:pPr>
      <w:r>
        <w:rPr>
          <w:rFonts w:cs="Times New Roman"/>
        </w:rPr>
        <w:t>表 15 厂界噪声监测内容一览表</w:t>
      </w:r>
    </w:p>
    <w:tbl>
      <w:tblPr>
        <w:tblStyle w:val="2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169"/>
        <w:gridCol w:w="1296"/>
        <w:gridCol w:w="1520"/>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006" w:type="dxa"/>
          </w:tcPr>
          <w:p>
            <w:pPr>
              <w:pStyle w:val="15"/>
              <w:spacing w:before="85"/>
              <w:ind w:left="290"/>
              <w:jc w:val="left"/>
              <w:rPr>
                <w:rFonts w:ascii="Times New Roman" w:hAnsi="Times New Roman" w:cs="Times New Roman"/>
                <w:b/>
                <w:sz w:val="21"/>
              </w:rPr>
            </w:pPr>
            <w:r>
              <w:rPr>
                <w:rFonts w:ascii="Times New Roman" w:hAnsi="Times New Roman" w:cs="Times New Roman"/>
                <w:b/>
                <w:sz w:val="21"/>
              </w:rPr>
              <w:t>类型</w:t>
            </w:r>
          </w:p>
        </w:tc>
        <w:tc>
          <w:tcPr>
            <w:tcW w:w="1169" w:type="dxa"/>
          </w:tcPr>
          <w:p>
            <w:pPr>
              <w:pStyle w:val="15"/>
              <w:spacing w:before="85"/>
              <w:ind w:left="142" w:right="133"/>
              <w:rPr>
                <w:rFonts w:ascii="Times New Roman" w:hAnsi="Times New Roman" w:cs="Times New Roman"/>
                <w:b/>
                <w:sz w:val="21"/>
              </w:rPr>
            </w:pPr>
            <w:r>
              <w:rPr>
                <w:rFonts w:ascii="Times New Roman" w:hAnsi="Times New Roman" w:cs="Times New Roman"/>
                <w:b/>
                <w:sz w:val="21"/>
              </w:rPr>
              <w:t>监测项目</w:t>
            </w:r>
          </w:p>
        </w:tc>
        <w:tc>
          <w:tcPr>
            <w:tcW w:w="1296" w:type="dxa"/>
          </w:tcPr>
          <w:p>
            <w:pPr>
              <w:pStyle w:val="15"/>
              <w:spacing w:before="85"/>
              <w:ind w:left="204" w:right="197"/>
              <w:rPr>
                <w:rFonts w:ascii="Times New Roman" w:hAnsi="Times New Roman" w:cs="Times New Roman"/>
                <w:b/>
                <w:sz w:val="21"/>
              </w:rPr>
            </w:pPr>
            <w:r>
              <w:rPr>
                <w:rFonts w:ascii="Times New Roman" w:hAnsi="Times New Roman" w:cs="Times New Roman"/>
                <w:b/>
                <w:sz w:val="21"/>
              </w:rPr>
              <w:t>监测点位</w:t>
            </w:r>
          </w:p>
        </w:tc>
        <w:tc>
          <w:tcPr>
            <w:tcW w:w="1520" w:type="dxa"/>
          </w:tcPr>
          <w:p>
            <w:pPr>
              <w:pStyle w:val="15"/>
              <w:spacing w:before="85"/>
              <w:ind w:left="204" w:right="197"/>
              <w:rPr>
                <w:rFonts w:ascii="Times New Roman" w:hAnsi="Times New Roman" w:cs="Times New Roman"/>
                <w:b/>
                <w:sz w:val="21"/>
              </w:rPr>
            </w:pPr>
            <w:r>
              <w:rPr>
                <w:rFonts w:ascii="Times New Roman" w:hAnsi="Times New Roman" w:cs="Times New Roman"/>
                <w:b/>
                <w:sz w:val="21"/>
              </w:rPr>
              <w:t>监测频次</w:t>
            </w:r>
          </w:p>
        </w:tc>
        <w:tc>
          <w:tcPr>
            <w:tcW w:w="1701" w:type="dxa"/>
          </w:tcPr>
          <w:p>
            <w:pPr>
              <w:pStyle w:val="15"/>
              <w:spacing w:before="85"/>
              <w:ind w:left="202" w:right="197"/>
              <w:rPr>
                <w:rFonts w:ascii="Times New Roman" w:hAnsi="Times New Roman" w:cs="Times New Roman"/>
                <w:b/>
                <w:sz w:val="21"/>
              </w:rPr>
            </w:pPr>
            <w:r>
              <w:rPr>
                <w:rFonts w:ascii="Times New Roman" w:hAnsi="Times New Roman" w:cs="Times New Roman"/>
                <w:b/>
                <w:sz w:val="21"/>
              </w:rPr>
              <w:t>监测方式</w:t>
            </w:r>
          </w:p>
        </w:tc>
        <w:tc>
          <w:tcPr>
            <w:tcW w:w="1701" w:type="dxa"/>
          </w:tcPr>
          <w:p>
            <w:pPr>
              <w:pStyle w:val="15"/>
              <w:spacing w:before="85"/>
              <w:ind w:left="98" w:right="92"/>
              <w:rPr>
                <w:rFonts w:ascii="Times New Roman" w:hAnsi="Times New Roman" w:cs="Times New Roman"/>
                <w:b/>
                <w:sz w:val="21"/>
              </w:rPr>
            </w:pPr>
            <w:r>
              <w:rPr>
                <w:rFonts w:ascii="Times New Roman" w:hAnsi="Times New Roman"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6" w:type="dxa"/>
            <w:vMerge w:val="restart"/>
          </w:tcPr>
          <w:p>
            <w:pPr>
              <w:pStyle w:val="15"/>
              <w:jc w:val="left"/>
              <w:rPr>
                <w:rFonts w:ascii="Times New Roman" w:hAnsi="Times New Roman" w:cs="Times New Roman"/>
                <w:b/>
                <w:sz w:val="20"/>
              </w:rPr>
            </w:pPr>
          </w:p>
          <w:p>
            <w:pPr>
              <w:pStyle w:val="15"/>
              <w:spacing w:before="10"/>
              <w:jc w:val="left"/>
              <w:rPr>
                <w:rFonts w:ascii="Times New Roman" w:hAnsi="Times New Roman" w:cs="Times New Roman"/>
                <w:b/>
                <w:sz w:val="21"/>
              </w:rPr>
            </w:pPr>
          </w:p>
          <w:p>
            <w:pPr>
              <w:pStyle w:val="15"/>
              <w:spacing w:before="1" w:line="285" w:lineRule="auto"/>
              <w:ind w:left="395" w:right="173" w:hanging="209"/>
              <w:jc w:val="left"/>
              <w:rPr>
                <w:rFonts w:ascii="Times New Roman" w:hAnsi="Times New Roman" w:cs="Times New Roman"/>
                <w:sz w:val="21"/>
              </w:rPr>
            </w:pPr>
            <w:r>
              <w:rPr>
                <w:rFonts w:ascii="Times New Roman" w:hAnsi="Times New Roman" w:cs="Times New Roman"/>
                <w:sz w:val="21"/>
              </w:rPr>
              <w:t>厂界噪声</w:t>
            </w:r>
          </w:p>
        </w:tc>
        <w:tc>
          <w:tcPr>
            <w:tcW w:w="1169" w:type="dxa"/>
          </w:tcPr>
          <w:p>
            <w:pPr>
              <w:pStyle w:val="15"/>
              <w:spacing w:before="99"/>
              <w:ind w:left="139" w:right="133"/>
              <w:rPr>
                <w:rFonts w:ascii="Times New Roman" w:hAnsi="Times New Roman" w:cs="Times New Roman"/>
                <w:sz w:val="21"/>
              </w:rPr>
            </w:pPr>
            <w:r>
              <w:rPr>
                <w:rFonts w:ascii="Times New Roman" w:hAnsi="Times New Roman" w:cs="Times New Roman"/>
                <w:sz w:val="21"/>
              </w:rPr>
              <w:t>LeqA</w:t>
            </w:r>
          </w:p>
        </w:tc>
        <w:tc>
          <w:tcPr>
            <w:tcW w:w="1296" w:type="dxa"/>
          </w:tcPr>
          <w:p>
            <w:pPr>
              <w:pStyle w:val="15"/>
              <w:spacing w:before="85"/>
              <w:ind w:left="204" w:right="197"/>
              <w:rPr>
                <w:rFonts w:ascii="Times New Roman" w:hAnsi="Times New Roman" w:cs="Times New Roman"/>
                <w:sz w:val="21"/>
              </w:rPr>
            </w:pPr>
            <w:r>
              <w:rPr>
                <w:rFonts w:ascii="Times New Roman" w:hAnsi="Times New Roman" w:cs="Times New Roman"/>
                <w:sz w:val="21"/>
              </w:rPr>
              <w:t>厂界东</w:t>
            </w:r>
          </w:p>
        </w:tc>
        <w:tc>
          <w:tcPr>
            <w:tcW w:w="1520" w:type="dxa"/>
          </w:tcPr>
          <w:p>
            <w:pPr>
              <w:pStyle w:val="15"/>
              <w:spacing w:before="85"/>
              <w:ind w:left="204" w:right="197"/>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701" w:type="dxa"/>
          </w:tcPr>
          <w:p>
            <w:pPr>
              <w:pStyle w:val="15"/>
              <w:spacing w:before="85"/>
              <w:ind w:left="199" w:right="197"/>
              <w:rPr>
                <w:rFonts w:ascii="Times New Roman" w:hAnsi="Times New Roman" w:cs="Times New Roman"/>
                <w:sz w:val="21"/>
              </w:rPr>
            </w:pPr>
            <w:r>
              <w:rPr>
                <w:rFonts w:ascii="Times New Roman" w:hAnsi="Times New Roman" w:cs="Times New Roman"/>
                <w:sz w:val="21"/>
              </w:rPr>
              <w:t>手工监测</w:t>
            </w:r>
          </w:p>
        </w:tc>
        <w:tc>
          <w:tcPr>
            <w:tcW w:w="1701" w:type="dxa"/>
            <w:vMerge w:val="restart"/>
            <w:vAlign w:val="center"/>
          </w:tcPr>
          <w:p>
            <w:pPr>
              <w:pStyle w:val="15"/>
              <w:spacing w:before="85"/>
              <w:ind w:left="100" w:right="92"/>
              <w:rPr>
                <w:rFonts w:ascii="Times New Roman" w:hAnsi="Times New Roman" w:cs="Times New Roman"/>
                <w:sz w:val="21"/>
              </w:rPr>
            </w:pPr>
            <w:r>
              <w:rPr>
                <w:rFonts w:ascii="Times New Roman" w:hAnsi="Times New Roman" w:cs="Times New Roman"/>
                <w:sz w:val="21"/>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006" w:type="dxa"/>
            <w:vMerge w:val="continue"/>
            <w:tcBorders>
              <w:top w:val="nil"/>
            </w:tcBorders>
          </w:tcPr>
          <w:p>
            <w:pPr>
              <w:rPr>
                <w:rFonts w:ascii="Times New Roman" w:hAnsi="Times New Roman" w:cs="Times New Roman"/>
                <w:sz w:val="2"/>
                <w:szCs w:val="2"/>
              </w:rPr>
            </w:pPr>
          </w:p>
        </w:tc>
        <w:tc>
          <w:tcPr>
            <w:tcW w:w="1169" w:type="dxa"/>
          </w:tcPr>
          <w:p>
            <w:pPr>
              <w:pStyle w:val="15"/>
              <w:spacing w:before="99"/>
              <w:ind w:left="139" w:right="133"/>
              <w:rPr>
                <w:rFonts w:ascii="Times New Roman" w:hAnsi="Times New Roman" w:cs="Times New Roman"/>
                <w:sz w:val="21"/>
              </w:rPr>
            </w:pPr>
            <w:r>
              <w:rPr>
                <w:rFonts w:ascii="Times New Roman" w:hAnsi="Times New Roman" w:cs="Times New Roman"/>
                <w:sz w:val="21"/>
              </w:rPr>
              <w:t>LeqA</w:t>
            </w:r>
          </w:p>
        </w:tc>
        <w:tc>
          <w:tcPr>
            <w:tcW w:w="1296" w:type="dxa"/>
          </w:tcPr>
          <w:p>
            <w:pPr>
              <w:pStyle w:val="15"/>
              <w:spacing w:before="85"/>
              <w:ind w:left="204" w:right="197"/>
              <w:rPr>
                <w:rFonts w:ascii="Times New Roman" w:hAnsi="Times New Roman" w:cs="Times New Roman"/>
                <w:sz w:val="21"/>
              </w:rPr>
            </w:pPr>
            <w:r>
              <w:rPr>
                <w:rFonts w:ascii="Times New Roman" w:hAnsi="Times New Roman" w:cs="Times New Roman"/>
                <w:sz w:val="21"/>
              </w:rPr>
              <w:t>厂界南</w:t>
            </w:r>
          </w:p>
        </w:tc>
        <w:tc>
          <w:tcPr>
            <w:tcW w:w="1520" w:type="dxa"/>
          </w:tcPr>
          <w:p>
            <w:pPr>
              <w:pStyle w:val="15"/>
              <w:spacing w:before="85"/>
              <w:ind w:left="204" w:right="197"/>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701" w:type="dxa"/>
          </w:tcPr>
          <w:p>
            <w:pPr>
              <w:pStyle w:val="15"/>
              <w:spacing w:before="85"/>
              <w:ind w:left="199" w:right="197"/>
              <w:rPr>
                <w:rFonts w:ascii="Times New Roman" w:hAnsi="Times New Roman" w:cs="Times New Roman"/>
                <w:sz w:val="21"/>
              </w:rPr>
            </w:pPr>
            <w:r>
              <w:rPr>
                <w:rFonts w:ascii="Times New Roman" w:hAnsi="Times New Roman" w:cs="Times New Roman"/>
                <w:sz w:val="21"/>
              </w:rPr>
              <w:t>手工监测</w:t>
            </w:r>
          </w:p>
        </w:tc>
        <w:tc>
          <w:tcPr>
            <w:tcW w:w="1701" w:type="dxa"/>
            <w:vMerge w:val="continue"/>
          </w:tcPr>
          <w:p>
            <w:pPr>
              <w:pStyle w:val="15"/>
              <w:spacing w:before="85"/>
              <w:ind w:left="100" w:right="92"/>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006" w:type="dxa"/>
            <w:vMerge w:val="continue"/>
            <w:tcBorders>
              <w:top w:val="nil"/>
            </w:tcBorders>
          </w:tcPr>
          <w:p>
            <w:pPr>
              <w:rPr>
                <w:rFonts w:ascii="Times New Roman" w:hAnsi="Times New Roman" w:cs="Times New Roman"/>
                <w:sz w:val="2"/>
                <w:szCs w:val="2"/>
              </w:rPr>
            </w:pPr>
          </w:p>
        </w:tc>
        <w:tc>
          <w:tcPr>
            <w:tcW w:w="1169" w:type="dxa"/>
          </w:tcPr>
          <w:p>
            <w:pPr>
              <w:pStyle w:val="15"/>
              <w:spacing w:before="99"/>
              <w:ind w:left="139" w:right="133"/>
              <w:rPr>
                <w:rFonts w:ascii="Times New Roman" w:hAnsi="Times New Roman" w:cs="Times New Roman"/>
                <w:sz w:val="21"/>
              </w:rPr>
            </w:pPr>
            <w:r>
              <w:rPr>
                <w:rFonts w:ascii="Times New Roman" w:hAnsi="Times New Roman" w:cs="Times New Roman"/>
                <w:sz w:val="21"/>
              </w:rPr>
              <w:t>LeqA</w:t>
            </w:r>
          </w:p>
        </w:tc>
        <w:tc>
          <w:tcPr>
            <w:tcW w:w="1296" w:type="dxa"/>
          </w:tcPr>
          <w:p>
            <w:pPr>
              <w:pStyle w:val="15"/>
              <w:spacing w:before="85"/>
              <w:ind w:left="204" w:right="197"/>
              <w:rPr>
                <w:rFonts w:ascii="Times New Roman" w:hAnsi="Times New Roman" w:cs="Times New Roman"/>
                <w:sz w:val="21"/>
              </w:rPr>
            </w:pPr>
            <w:r>
              <w:rPr>
                <w:rFonts w:ascii="Times New Roman" w:hAnsi="Times New Roman" w:cs="Times New Roman"/>
                <w:sz w:val="21"/>
              </w:rPr>
              <w:t>厂界西</w:t>
            </w:r>
          </w:p>
        </w:tc>
        <w:tc>
          <w:tcPr>
            <w:tcW w:w="1520" w:type="dxa"/>
          </w:tcPr>
          <w:p>
            <w:pPr>
              <w:pStyle w:val="15"/>
              <w:spacing w:before="85"/>
              <w:ind w:left="204" w:right="197"/>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701" w:type="dxa"/>
          </w:tcPr>
          <w:p>
            <w:pPr>
              <w:pStyle w:val="15"/>
              <w:spacing w:before="85"/>
              <w:ind w:left="199" w:right="197"/>
              <w:rPr>
                <w:rFonts w:ascii="Times New Roman" w:hAnsi="Times New Roman" w:cs="Times New Roman"/>
                <w:sz w:val="21"/>
              </w:rPr>
            </w:pPr>
            <w:r>
              <w:rPr>
                <w:rFonts w:ascii="Times New Roman" w:hAnsi="Times New Roman" w:cs="Times New Roman"/>
                <w:sz w:val="21"/>
              </w:rPr>
              <w:t>手工监测</w:t>
            </w:r>
          </w:p>
        </w:tc>
        <w:tc>
          <w:tcPr>
            <w:tcW w:w="1701" w:type="dxa"/>
            <w:vMerge w:val="continue"/>
          </w:tcPr>
          <w:p>
            <w:pPr>
              <w:pStyle w:val="15"/>
              <w:spacing w:before="85"/>
              <w:ind w:left="100" w:right="92"/>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06" w:type="dxa"/>
            <w:vMerge w:val="continue"/>
            <w:tcBorders>
              <w:top w:val="nil"/>
            </w:tcBorders>
          </w:tcPr>
          <w:p>
            <w:pPr>
              <w:rPr>
                <w:rFonts w:ascii="Times New Roman" w:hAnsi="Times New Roman" w:cs="Times New Roman"/>
                <w:sz w:val="2"/>
                <w:szCs w:val="2"/>
              </w:rPr>
            </w:pPr>
          </w:p>
        </w:tc>
        <w:tc>
          <w:tcPr>
            <w:tcW w:w="1169" w:type="dxa"/>
          </w:tcPr>
          <w:p>
            <w:pPr>
              <w:pStyle w:val="15"/>
              <w:spacing w:before="99"/>
              <w:ind w:left="139" w:right="133"/>
              <w:rPr>
                <w:rFonts w:ascii="Times New Roman" w:hAnsi="Times New Roman" w:cs="Times New Roman"/>
                <w:sz w:val="21"/>
              </w:rPr>
            </w:pPr>
            <w:r>
              <w:rPr>
                <w:rFonts w:ascii="Times New Roman" w:hAnsi="Times New Roman" w:cs="Times New Roman"/>
                <w:sz w:val="21"/>
              </w:rPr>
              <w:t>LeqA</w:t>
            </w:r>
          </w:p>
        </w:tc>
        <w:tc>
          <w:tcPr>
            <w:tcW w:w="1296" w:type="dxa"/>
          </w:tcPr>
          <w:p>
            <w:pPr>
              <w:pStyle w:val="15"/>
              <w:spacing w:before="85"/>
              <w:ind w:left="204" w:right="197"/>
              <w:rPr>
                <w:rFonts w:ascii="Times New Roman" w:hAnsi="Times New Roman" w:cs="Times New Roman"/>
                <w:sz w:val="21"/>
              </w:rPr>
            </w:pPr>
            <w:r>
              <w:rPr>
                <w:rFonts w:ascii="Times New Roman" w:hAnsi="Times New Roman" w:cs="Times New Roman"/>
                <w:sz w:val="21"/>
              </w:rPr>
              <w:t>厂界北</w:t>
            </w:r>
          </w:p>
        </w:tc>
        <w:tc>
          <w:tcPr>
            <w:tcW w:w="1520" w:type="dxa"/>
          </w:tcPr>
          <w:p>
            <w:pPr>
              <w:pStyle w:val="15"/>
              <w:spacing w:before="85"/>
              <w:ind w:left="204" w:right="197"/>
              <w:rPr>
                <w:rFonts w:ascii="Times New Roman" w:hAnsi="Times New Roman" w:cs="Times New Roman"/>
                <w:sz w:val="21"/>
              </w:rPr>
            </w:pPr>
            <w:r>
              <w:rPr>
                <w:rFonts w:ascii="Times New Roman" w:hAnsi="Times New Roman" w:eastAsia="Times New Roman" w:cs="Times New Roman"/>
                <w:sz w:val="21"/>
              </w:rPr>
              <w:t xml:space="preserve">1 </w:t>
            </w:r>
            <w:r>
              <w:rPr>
                <w:rFonts w:ascii="Times New Roman" w:hAnsi="Times New Roman" w:cs="Times New Roman"/>
                <w:sz w:val="21"/>
              </w:rPr>
              <w:t>次</w:t>
            </w:r>
            <w:r>
              <w:rPr>
                <w:rFonts w:ascii="Times New Roman" w:hAnsi="Times New Roman" w:eastAsia="Times New Roman" w:cs="Times New Roman"/>
                <w:sz w:val="21"/>
              </w:rPr>
              <w:t>/</w:t>
            </w:r>
            <w:r>
              <w:rPr>
                <w:rFonts w:ascii="Times New Roman" w:hAnsi="Times New Roman" w:cs="Times New Roman"/>
                <w:sz w:val="21"/>
              </w:rPr>
              <w:t>季</w:t>
            </w:r>
          </w:p>
        </w:tc>
        <w:tc>
          <w:tcPr>
            <w:tcW w:w="1701" w:type="dxa"/>
          </w:tcPr>
          <w:p>
            <w:pPr>
              <w:pStyle w:val="15"/>
              <w:spacing w:before="85"/>
              <w:ind w:left="199" w:right="197"/>
              <w:rPr>
                <w:rFonts w:ascii="Times New Roman" w:hAnsi="Times New Roman" w:cs="Times New Roman"/>
                <w:sz w:val="21"/>
              </w:rPr>
            </w:pPr>
            <w:r>
              <w:rPr>
                <w:rFonts w:ascii="Times New Roman" w:hAnsi="Times New Roman" w:cs="Times New Roman"/>
                <w:sz w:val="21"/>
              </w:rPr>
              <w:t>手工监测</w:t>
            </w:r>
          </w:p>
        </w:tc>
        <w:tc>
          <w:tcPr>
            <w:tcW w:w="1701" w:type="dxa"/>
            <w:vMerge w:val="continue"/>
          </w:tcPr>
          <w:p>
            <w:pPr>
              <w:pStyle w:val="15"/>
              <w:spacing w:before="85"/>
              <w:ind w:left="100" w:right="92"/>
              <w:rPr>
                <w:rFonts w:ascii="Times New Roman" w:hAnsi="Times New Roman" w:cs="Times New Roman"/>
                <w:sz w:val="21"/>
              </w:rPr>
            </w:pPr>
          </w:p>
        </w:tc>
      </w:tr>
    </w:tbl>
    <w:p>
      <w:pPr>
        <w:pStyle w:val="2"/>
        <w:ind w:firstLine="480"/>
        <w:rPr>
          <w:rFonts w:ascii="Times New Roman" w:hAnsi="Times New Roman" w:cs="Times New Roman"/>
        </w:rPr>
      </w:pPr>
      <w:r>
        <w:rPr>
          <w:rFonts w:ascii="Times New Roman" w:hAnsi="Times New Roman" w:cs="Times New Roman"/>
        </w:rPr>
        <w:t>2、厂界噪声监测方法及依据情况见表 16。</w:t>
      </w:r>
    </w:p>
    <w:p>
      <w:pPr>
        <w:pStyle w:val="20"/>
        <w:rPr>
          <w:rFonts w:cs="Times New Roman"/>
        </w:rPr>
      </w:pPr>
      <w:r>
        <w:rPr>
          <w:rFonts w:cs="Times New Roman"/>
        </w:rPr>
        <w:t>表 16</w:t>
      </w:r>
      <w:r>
        <w:rPr>
          <w:rFonts w:cs="Times New Roman"/>
        </w:rPr>
        <w:tab/>
      </w:r>
      <w:r>
        <w:rPr>
          <w:rFonts w:cs="Times New Roman"/>
        </w:rPr>
        <w:t>厂界噪声监测方法及依据一览表</w:t>
      </w:r>
    </w:p>
    <w:tbl>
      <w:tblPr>
        <w:tblStyle w:val="2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6"/>
        <w:gridCol w:w="3123"/>
        <w:gridCol w:w="2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506" w:type="dxa"/>
          </w:tcPr>
          <w:p>
            <w:pPr>
              <w:pStyle w:val="15"/>
              <w:spacing w:before="85"/>
              <w:ind w:right="819"/>
              <w:jc w:val="right"/>
              <w:rPr>
                <w:rFonts w:ascii="Times New Roman" w:hAnsi="Times New Roman" w:cs="Times New Roman"/>
                <w:b/>
                <w:sz w:val="21"/>
              </w:rPr>
            </w:pPr>
            <w:r>
              <w:rPr>
                <w:rFonts w:ascii="Times New Roman" w:hAnsi="Times New Roman" w:cs="Times New Roman"/>
                <w:b/>
                <w:sz w:val="21"/>
              </w:rPr>
              <w:t>监测项目</w:t>
            </w:r>
          </w:p>
        </w:tc>
        <w:tc>
          <w:tcPr>
            <w:tcW w:w="3123" w:type="dxa"/>
          </w:tcPr>
          <w:p>
            <w:pPr>
              <w:pStyle w:val="15"/>
              <w:spacing w:before="85"/>
              <w:ind w:left="823"/>
              <w:jc w:val="left"/>
              <w:rPr>
                <w:rFonts w:ascii="Times New Roman" w:hAnsi="Times New Roman" w:cs="Times New Roman"/>
                <w:b/>
                <w:sz w:val="21"/>
              </w:rPr>
            </w:pPr>
            <w:r>
              <w:rPr>
                <w:rFonts w:ascii="Times New Roman" w:hAnsi="Times New Roman" w:cs="Times New Roman"/>
                <w:b/>
                <w:sz w:val="21"/>
              </w:rPr>
              <w:t>监测方法及依据</w:t>
            </w:r>
          </w:p>
        </w:tc>
        <w:tc>
          <w:tcPr>
            <w:tcW w:w="2895" w:type="dxa"/>
          </w:tcPr>
          <w:p>
            <w:pPr>
              <w:pStyle w:val="15"/>
              <w:spacing w:before="46"/>
              <w:ind w:left="68" w:right="60"/>
              <w:rPr>
                <w:rFonts w:ascii="Times New Roman" w:hAnsi="Times New Roman" w:cs="Times New Roman"/>
                <w:b/>
                <w:sz w:val="21"/>
              </w:rPr>
            </w:pPr>
            <w:r>
              <w:rPr>
                <w:rFonts w:ascii="Times New Roman" w:hAnsi="Times New Roman"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506" w:type="dxa"/>
            <w:vAlign w:val="center"/>
          </w:tcPr>
          <w:p>
            <w:pPr>
              <w:pStyle w:val="15"/>
              <w:rPr>
                <w:rFonts w:ascii="Times New Roman" w:hAnsi="Times New Roman" w:cs="Times New Roman"/>
                <w:sz w:val="21"/>
              </w:rPr>
            </w:pPr>
            <w:r>
              <w:rPr>
                <w:rFonts w:ascii="Times New Roman" w:hAnsi="Times New Roman" w:cs="Times New Roman"/>
                <w:sz w:val="21"/>
              </w:rPr>
              <w:t>厂界噪声</w:t>
            </w:r>
          </w:p>
        </w:tc>
        <w:tc>
          <w:tcPr>
            <w:tcW w:w="3123" w:type="dxa"/>
            <w:vAlign w:val="center"/>
          </w:tcPr>
          <w:p>
            <w:pPr>
              <w:pStyle w:val="15"/>
              <w:spacing w:line="285" w:lineRule="auto"/>
              <w:ind w:firstLine="48"/>
              <w:rPr>
                <w:rFonts w:ascii="Times New Roman" w:hAnsi="Times New Roman" w:cs="Times New Roman"/>
                <w:sz w:val="21"/>
              </w:rPr>
            </w:pPr>
            <w:r>
              <w:rPr>
                <w:rFonts w:ascii="Times New Roman" w:hAnsi="Times New Roman" w:cs="Times New Roman"/>
                <w:sz w:val="21"/>
              </w:rPr>
              <w:t xml:space="preserve">工业企业厂界环境噪声排放标准测量方法 </w:t>
            </w:r>
            <w:r>
              <w:rPr>
                <w:rFonts w:ascii="Times New Roman" w:hAnsi="Times New Roman" w:eastAsia="Times New Roman" w:cs="Times New Roman"/>
                <w:sz w:val="21"/>
              </w:rPr>
              <w:t xml:space="preserve">GB12348-2008 2 </w:t>
            </w:r>
            <w:r>
              <w:rPr>
                <w:rFonts w:ascii="Times New Roman" w:hAnsi="Times New Roman" w:cs="Times New Roman"/>
                <w:sz w:val="21"/>
              </w:rPr>
              <w:t>类</w:t>
            </w:r>
          </w:p>
        </w:tc>
        <w:tc>
          <w:tcPr>
            <w:tcW w:w="2895" w:type="dxa"/>
            <w:vAlign w:val="center"/>
          </w:tcPr>
          <w:p>
            <w:pPr>
              <w:pStyle w:val="15"/>
              <w:rPr>
                <w:rFonts w:ascii="Times New Roman" w:hAnsi="Times New Roman" w:cs="Times New Roman"/>
                <w:sz w:val="21"/>
              </w:rPr>
            </w:pPr>
            <w:r>
              <w:rPr>
                <w:rFonts w:ascii="Times New Roman" w:hAnsi="Times New Roman" w:cs="Times New Roman"/>
                <w:sz w:val="21"/>
              </w:rPr>
              <w:t>厂界噪声分白天（</w:t>
            </w:r>
            <w:r>
              <w:rPr>
                <w:rFonts w:ascii="Times New Roman" w:hAnsi="Times New Roman" w:eastAsia="Times New Roman" w:cs="Times New Roman"/>
                <w:sz w:val="21"/>
              </w:rPr>
              <w:t>6:00</w:t>
            </w:r>
            <w:r>
              <w:rPr>
                <w:rFonts w:ascii="Times New Roman" w:hAnsi="Times New Roman" w:cs="Times New Roman"/>
                <w:sz w:val="21"/>
              </w:rPr>
              <w:t>～</w:t>
            </w:r>
            <w:r>
              <w:rPr>
                <w:rFonts w:ascii="Times New Roman" w:hAnsi="Times New Roman" w:eastAsia="Times New Roman" w:cs="Times New Roman"/>
                <w:sz w:val="21"/>
              </w:rPr>
              <w:t>22:00</w:t>
            </w:r>
            <w:r>
              <w:rPr>
                <w:rFonts w:ascii="Times New Roman" w:hAnsi="Times New Roman" w:cs="Times New Roman"/>
                <w:sz w:val="21"/>
              </w:rPr>
              <w:t>）夜间（</w:t>
            </w:r>
            <w:r>
              <w:rPr>
                <w:rFonts w:ascii="Times New Roman" w:hAnsi="Times New Roman" w:eastAsia="Times New Roman" w:cs="Times New Roman"/>
                <w:sz w:val="21"/>
              </w:rPr>
              <w:t>22:00</w:t>
            </w:r>
            <w:r>
              <w:rPr>
                <w:rFonts w:ascii="Times New Roman" w:hAnsi="Times New Roman" w:cs="Times New Roman"/>
                <w:sz w:val="21"/>
              </w:rPr>
              <w:t>～</w:t>
            </w:r>
            <w:r>
              <w:rPr>
                <w:rFonts w:ascii="Times New Roman" w:hAnsi="Times New Roman" w:eastAsia="Times New Roman" w:cs="Times New Roman"/>
                <w:sz w:val="21"/>
              </w:rPr>
              <w:t>06:00</w:t>
            </w:r>
            <w:r>
              <w:rPr>
                <w:rFonts w:ascii="Times New Roman" w:hAnsi="Times New Roman" w:cs="Times New Roman"/>
                <w:sz w:val="21"/>
              </w:rPr>
              <w:t>）各测一次</w:t>
            </w:r>
          </w:p>
        </w:tc>
      </w:tr>
    </w:tbl>
    <w:p>
      <w:pPr>
        <w:pStyle w:val="2"/>
        <w:ind w:firstLine="480"/>
        <w:rPr>
          <w:rFonts w:ascii="Times New Roman" w:hAnsi="Times New Roman" w:cs="Times New Roman"/>
        </w:rPr>
      </w:pPr>
      <w:r>
        <w:rPr>
          <w:rFonts w:ascii="Times New Roman" w:hAnsi="Times New Roman" w:cs="Times New Roman"/>
        </w:rPr>
        <w:t>3、厂界噪声评价标准见表 17。</w:t>
      </w:r>
    </w:p>
    <w:p>
      <w:pPr>
        <w:pStyle w:val="20"/>
        <w:rPr>
          <w:rFonts w:cs="Times New Roman"/>
        </w:rPr>
      </w:pPr>
      <w:r>
        <w:rPr>
          <w:rFonts w:cs="Times New Roman"/>
        </w:rPr>
        <w:t>表 17</w:t>
      </w:r>
      <w:r>
        <w:rPr>
          <w:rFonts w:cs="Times New Roman"/>
        </w:rPr>
        <w:tab/>
      </w:r>
      <w:r>
        <w:rPr>
          <w:rFonts w:cs="Times New Roman"/>
        </w:rPr>
        <w:t>厂界噪声排放执行标准</w:t>
      </w:r>
    </w:p>
    <w:tbl>
      <w:tblPr>
        <w:tblStyle w:val="2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706"/>
        <w:gridCol w:w="1115"/>
        <w:gridCol w:w="1122"/>
        <w:gridCol w:w="1955"/>
        <w:gridCol w:w="2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60" w:type="dxa"/>
          </w:tcPr>
          <w:p>
            <w:pPr>
              <w:pStyle w:val="15"/>
              <w:spacing w:before="85"/>
              <w:ind w:left="268"/>
              <w:jc w:val="left"/>
              <w:rPr>
                <w:rFonts w:ascii="Times New Roman" w:hAnsi="Times New Roman" w:cs="Times New Roman"/>
                <w:b/>
                <w:sz w:val="21"/>
              </w:rPr>
            </w:pPr>
            <w:r>
              <w:rPr>
                <w:rFonts w:ascii="Times New Roman" w:hAnsi="Times New Roman" w:cs="Times New Roman"/>
                <w:b/>
                <w:sz w:val="21"/>
              </w:rPr>
              <w:t>类别</w:t>
            </w:r>
          </w:p>
        </w:tc>
        <w:tc>
          <w:tcPr>
            <w:tcW w:w="706" w:type="dxa"/>
          </w:tcPr>
          <w:p>
            <w:pPr>
              <w:pStyle w:val="15"/>
              <w:spacing w:before="85"/>
              <w:ind w:left="121" w:right="112"/>
              <w:rPr>
                <w:rFonts w:ascii="Times New Roman" w:hAnsi="Times New Roman" w:cs="Times New Roman"/>
                <w:b/>
                <w:sz w:val="21"/>
              </w:rPr>
            </w:pPr>
            <w:r>
              <w:rPr>
                <w:rFonts w:ascii="Times New Roman" w:hAnsi="Times New Roman" w:cs="Times New Roman"/>
                <w:b/>
                <w:sz w:val="21"/>
              </w:rPr>
              <w:t>序号</w:t>
            </w:r>
          </w:p>
        </w:tc>
        <w:tc>
          <w:tcPr>
            <w:tcW w:w="1115" w:type="dxa"/>
          </w:tcPr>
          <w:p>
            <w:pPr>
              <w:pStyle w:val="15"/>
              <w:spacing w:before="85"/>
              <w:ind w:left="114" w:right="107"/>
              <w:rPr>
                <w:rFonts w:ascii="Times New Roman" w:hAnsi="Times New Roman" w:cs="Times New Roman"/>
                <w:b/>
                <w:sz w:val="21"/>
              </w:rPr>
            </w:pPr>
            <w:r>
              <w:rPr>
                <w:rFonts w:ascii="Times New Roman" w:hAnsi="Times New Roman" w:cs="Times New Roman"/>
                <w:b/>
                <w:sz w:val="21"/>
              </w:rPr>
              <w:t>监测项目</w:t>
            </w:r>
          </w:p>
        </w:tc>
        <w:tc>
          <w:tcPr>
            <w:tcW w:w="1122" w:type="dxa"/>
          </w:tcPr>
          <w:p>
            <w:pPr>
              <w:pStyle w:val="15"/>
              <w:spacing w:before="85"/>
              <w:ind w:left="118" w:right="110"/>
              <w:rPr>
                <w:rFonts w:ascii="Times New Roman" w:hAnsi="Times New Roman" w:cs="Times New Roman"/>
                <w:b/>
                <w:sz w:val="21"/>
              </w:rPr>
            </w:pPr>
            <w:r>
              <w:rPr>
                <w:rFonts w:ascii="Times New Roman" w:hAnsi="Times New Roman" w:cs="Times New Roman"/>
                <w:b/>
                <w:sz w:val="21"/>
              </w:rPr>
              <w:t>监测点位</w:t>
            </w:r>
          </w:p>
        </w:tc>
        <w:tc>
          <w:tcPr>
            <w:tcW w:w="1955" w:type="dxa"/>
          </w:tcPr>
          <w:p>
            <w:pPr>
              <w:pStyle w:val="15"/>
              <w:spacing w:before="85"/>
              <w:ind w:left="340"/>
              <w:jc w:val="left"/>
              <w:rPr>
                <w:rFonts w:ascii="Times New Roman" w:hAnsi="Times New Roman" w:cs="Times New Roman"/>
                <w:b/>
                <w:sz w:val="21"/>
              </w:rPr>
            </w:pPr>
            <w:r>
              <w:rPr>
                <w:rFonts w:ascii="Times New Roman" w:hAnsi="Times New Roman" w:cs="Times New Roman"/>
                <w:b/>
                <w:sz w:val="21"/>
              </w:rPr>
              <w:t>执行标准限值</w:t>
            </w:r>
          </w:p>
        </w:tc>
        <w:tc>
          <w:tcPr>
            <w:tcW w:w="2670" w:type="dxa"/>
          </w:tcPr>
          <w:p>
            <w:pPr>
              <w:pStyle w:val="15"/>
              <w:spacing w:before="85"/>
              <w:ind w:left="171" w:right="170"/>
              <w:rPr>
                <w:rFonts w:ascii="Times New Roman" w:hAnsi="Times New Roman" w:cs="Times New Roman"/>
                <w:b/>
                <w:sz w:val="21"/>
              </w:rPr>
            </w:pPr>
            <w:r>
              <w:rPr>
                <w:rFonts w:ascii="Times New Roman" w:hAnsi="Times New Roman" w:cs="Times New Roman"/>
                <w:b/>
                <w:sz w:val="21"/>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960" w:type="dxa"/>
          </w:tcPr>
          <w:p>
            <w:pPr>
              <w:pStyle w:val="15"/>
              <w:spacing w:before="2"/>
              <w:jc w:val="left"/>
              <w:rPr>
                <w:rFonts w:ascii="Times New Roman" w:hAnsi="Times New Roman" w:cs="Times New Roman"/>
                <w:b/>
                <w:sz w:val="16"/>
              </w:rPr>
            </w:pPr>
          </w:p>
          <w:p>
            <w:pPr>
              <w:pStyle w:val="15"/>
              <w:spacing w:line="285" w:lineRule="auto"/>
              <w:ind w:left="374" w:right="151" w:hanging="212"/>
              <w:jc w:val="left"/>
              <w:rPr>
                <w:rFonts w:ascii="Times New Roman" w:hAnsi="Times New Roman" w:cs="Times New Roman"/>
                <w:sz w:val="21"/>
              </w:rPr>
            </w:pPr>
            <w:r>
              <w:rPr>
                <w:rFonts w:ascii="Times New Roman" w:hAnsi="Times New Roman" w:cs="Times New Roman"/>
                <w:sz w:val="21"/>
              </w:rPr>
              <w:t>厂界噪声</w:t>
            </w:r>
          </w:p>
        </w:tc>
        <w:tc>
          <w:tcPr>
            <w:tcW w:w="706" w:type="dxa"/>
          </w:tcPr>
          <w:p>
            <w:pPr>
              <w:pStyle w:val="15"/>
              <w:spacing w:before="10"/>
              <w:jc w:val="left"/>
              <w:rPr>
                <w:rFonts w:ascii="Times New Roman" w:hAnsi="Times New Roman" w:cs="Times New Roman"/>
                <w:b/>
                <w:sz w:val="29"/>
              </w:rPr>
            </w:pPr>
          </w:p>
          <w:p>
            <w:pPr>
              <w:pStyle w:val="15"/>
              <w:ind w:left="9"/>
              <w:rPr>
                <w:rFonts w:ascii="Times New Roman" w:hAnsi="Times New Roman" w:cs="Times New Roman"/>
                <w:sz w:val="21"/>
              </w:rPr>
            </w:pPr>
            <w:r>
              <w:rPr>
                <w:rFonts w:ascii="Times New Roman" w:hAnsi="Times New Roman" w:cs="Times New Roman"/>
                <w:sz w:val="21"/>
              </w:rPr>
              <w:t>1</w:t>
            </w:r>
          </w:p>
        </w:tc>
        <w:tc>
          <w:tcPr>
            <w:tcW w:w="1115" w:type="dxa"/>
          </w:tcPr>
          <w:p>
            <w:pPr>
              <w:pStyle w:val="15"/>
              <w:spacing w:before="10"/>
              <w:jc w:val="left"/>
              <w:rPr>
                <w:rFonts w:ascii="Times New Roman" w:hAnsi="Times New Roman" w:cs="Times New Roman"/>
                <w:b/>
                <w:sz w:val="29"/>
              </w:rPr>
            </w:pPr>
          </w:p>
          <w:p>
            <w:pPr>
              <w:pStyle w:val="15"/>
              <w:ind w:left="110" w:right="107"/>
              <w:rPr>
                <w:rFonts w:ascii="Times New Roman" w:hAnsi="Times New Roman" w:cs="Times New Roman"/>
                <w:sz w:val="21"/>
              </w:rPr>
            </w:pPr>
            <w:r>
              <w:rPr>
                <w:rFonts w:ascii="Times New Roman" w:hAnsi="Times New Roman" w:cs="Times New Roman"/>
                <w:sz w:val="21"/>
              </w:rPr>
              <w:t>LeqA</w:t>
            </w:r>
          </w:p>
        </w:tc>
        <w:tc>
          <w:tcPr>
            <w:tcW w:w="1122" w:type="dxa"/>
          </w:tcPr>
          <w:p>
            <w:pPr>
              <w:pStyle w:val="15"/>
              <w:spacing w:before="9"/>
              <w:jc w:val="left"/>
              <w:rPr>
                <w:rFonts w:ascii="Times New Roman" w:hAnsi="Times New Roman" w:cs="Times New Roman"/>
                <w:b/>
                <w:sz w:val="28"/>
              </w:rPr>
            </w:pPr>
          </w:p>
          <w:p>
            <w:pPr>
              <w:pStyle w:val="15"/>
              <w:ind w:left="115" w:right="110"/>
              <w:rPr>
                <w:rFonts w:ascii="Times New Roman" w:hAnsi="Times New Roman" w:cs="Times New Roman"/>
                <w:sz w:val="21"/>
              </w:rPr>
            </w:pPr>
            <w:r>
              <w:rPr>
                <w:rFonts w:ascii="Times New Roman" w:hAnsi="Times New Roman" w:cs="Times New Roman"/>
                <w:sz w:val="21"/>
              </w:rPr>
              <w:t>厂界四周</w:t>
            </w:r>
          </w:p>
        </w:tc>
        <w:tc>
          <w:tcPr>
            <w:tcW w:w="1955" w:type="dxa"/>
          </w:tcPr>
          <w:p>
            <w:pPr>
              <w:pStyle w:val="15"/>
              <w:spacing w:before="2"/>
              <w:jc w:val="left"/>
              <w:rPr>
                <w:rFonts w:ascii="Times New Roman" w:hAnsi="Times New Roman" w:cs="Times New Roman"/>
                <w:b/>
                <w:sz w:val="16"/>
              </w:rPr>
            </w:pPr>
          </w:p>
          <w:p>
            <w:pPr>
              <w:pStyle w:val="15"/>
              <w:spacing w:line="285" w:lineRule="auto"/>
              <w:ind w:left="222" w:hanging="118"/>
              <w:jc w:val="both"/>
              <w:rPr>
                <w:rFonts w:ascii="Times New Roman" w:hAnsi="Times New Roman" w:cs="Times New Roman"/>
                <w:sz w:val="21"/>
              </w:rPr>
            </w:pPr>
            <w:r>
              <w:rPr>
                <w:rFonts w:ascii="Times New Roman" w:hAnsi="Times New Roman" w:cs="Times New Roman"/>
                <w:spacing w:val="-4"/>
                <w:sz w:val="21"/>
              </w:rPr>
              <w:t>昼间：</w:t>
            </w:r>
            <w:r>
              <w:rPr>
                <w:rFonts w:ascii="Times New Roman" w:hAnsi="Times New Roman" w:eastAsia="Times New Roman" w:cs="Times New Roman"/>
                <w:spacing w:val="-7"/>
                <w:sz w:val="21"/>
              </w:rPr>
              <w:t>60dB</w:t>
            </w:r>
            <w:r>
              <w:rPr>
                <w:rFonts w:ascii="Times New Roman" w:hAnsi="Times New Roman" w:cs="Times New Roman"/>
                <w:spacing w:val="-7"/>
                <w:sz w:val="21"/>
              </w:rPr>
              <w:t>（</w:t>
            </w:r>
            <w:r>
              <w:rPr>
                <w:rFonts w:ascii="Times New Roman" w:hAnsi="Times New Roman" w:eastAsia="Times New Roman" w:cs="Times New Roman"/>
                <w:spacing w:val="-7"/>
                <w:sz w:val="21"/>
              </w:rPr>
              <w:t>A</w:t>
            </w:r>
            <w:r>
              <w:rPr>
                <w:rFonts w:ascii="Times New Roman" w:hAnsi="Times New Roman" w:cs="Times New Roman"/>
                <w:spacing w:val="-7"/>
                <w:sz w:val="21"/>
              </w:rPr>
              <w:t xml:space="preserve">）， </w:t>
            </w:r>
            <w:r>
              <w:rPr>
                <w:rFonts w:ascii="Times New Roman" w:hAnsi="Times New Roman" w:cs="Times New Roman"/>
                <w:spacing w:val="-18"/>
                <w:sz w:val="21"/>
              </w:rPr>
              <w:t xml:space="preserve">夜间： </w:t>
            </w:r>
            <w:r>
              <w:rPr>
                <w:rFonts w:ascii="Times New Roman" w:hAnsi="Times New Roman" w:eastAsia="Times New Roman" w:cs="Times New Roman"/>
                <w:sz w:val="21"/>
              </w:rPr>
              <w:t>50dB</w:t>
            </w:r>
            <w:r>
              <w:rPr>
                <w:rFonts w:ascii="Times New Roman" w:hAnsi="Times New Roman" w:cs="Times New Roman"/>
                <w:sz w:val="21"/>
              </w:rPr>
              <w:t>（</w:t>
            </w:r>
            <w:r>
              <w:rPr>
                <w:rFonts w:ascii="Times New Roman" w:hAnsi="Times New Roman" w:eastAsia="Times New Roman" w:cs="Times New Roman"/>
                <w:sz w:val="21"/>
              </w:rPr>
              <w:t>A</w:t>
            </w:r>
            <w:r>
              <w:rPr>
                <w:rFonts w:ascii="Times New Roman" w:hAnsi="Times New Roman" w:cs="Times New Roman"/>
                <w:sz w:val="21"/>
              </w:rPr>
              <w:t>）</w:t>
            </w:r>
          </w:p>
        </w:tc>
        <w:tc>
          <w:tcPr>
            <w:tcW w:w="2670" w:type="dxa"/>
          </w:tcPr>
          <w:p>
            <w:pPr>
              <w:pStyle w:val="15"/>
              <w:spacing w:before="46" w:line="288" w:lineRule="auto"/>
              <w:ind w:left="173" w:right="170"/>
              <w:rPr>
                <w:rFonts w:ascii="Times New Roman" w:hAnsi="Times New Roman" w:cs="Times New Roman"/>
                <w:sz w:val="21"/>
              </w:rPr>
            </w:pPr>
            <w:r>
              <w:rPr>
                <w:rFonts w:ascii="Times New Roman" w:hAnsi="Times New Roman" w:cs="Times New Roman"/>
                <w:sz w:val="21"/>
              </w:rPr>
              <w:t>《工业企业厂界环境噪声排放标准》（</w:t>
            </w:r>
            <w:r>
              <w:rPr>
                <w:rFonts w:ascii="Times New Roman" w:hAnsi="Times New Roman" w:eastAsia="Times New Roman" w:cs="Times New Roman"/>
                <w:sz w:val="21"/>
              </w:rPr>
              <w:t>GB12348-2008</w:t>
            </w:r>
            <w:r>
              <w:rPr>
                <w:rFonts w:ascii="Times New Roman" w:hAnsi="Times New Roman" w:cs="Times New Roman"/>
                <w:sz w:val="21"/>
              </w:rPr>
              <w:t xml:space="preserve">）表 </w:t>
            </w:r>
            <w:r>
              <w:rPr>
                <w:rFonts w:ascii="Times New Roman" w:hAnsi="Times New Roman" w:eastAsia="Times New Roman" w:cs="Times New Roman"/>
                <w:sz w:val="21"/>
              </w:rPr>
              <w:t xml:space="preserve">1 </w:t>
            </w:r>
            <w:r>
              <w:rPr>
                <w:rFonts w:ascii="Times New Roman" w:hAnsi="Times New Roman" w:cs="Times New Roman"/>
                <w:sz w:val="21"/>
              </w:rPr>
              <w:t xml:space="preserve">中 </w:t>
            </w:r>
            <w:r>
              <w:rPr>
                <w:rFonts w:ascii="Times New Roman" w:hAnsi="Times New Roman" w:eastAsia="Times New Roman" w:cs="Times New Roman"/>
                <w:sz w:val="21"/>
              </w:rPr>
              <w:t xml:space="preserve">2 </w:t>
            </w:r>
            <w:r>
              <w:rPr>
                <w:rFonts w:ascii="Times New Roman" w:hAnsi="Times New Roman" w:cs="Times New Roman"/>
                <w:sz w:val="21"/>
              </w:rPr>
              <w:t>类</w:t>
            </w:r>
          </w:p>
        </w:tc>
      </w:tr>
    </w:tbl>
    <w:p>
      <w:pPr>
        <w:pStyle w:val="2"/>
        <w:ind w:firstLine="480"/>
        <w:rPr>
          <w:rFonts w:ascii="Times New Roman" w:hAnsi="Times New Roman" w:cs="Times New Roman"/>
        </w:rPr>
      </w:pPr>
      <w:r>
        <w:rPr>
          <w:rFonts w:ascii="Times New Roman" w:hAnsi="Times New Roman" w:cs="Times New Roman"/>
        </w:rPr>
        <w:t>4、厂界噪声监测仪器设备</w:t>
      </w:r>
    </w:p>
    <w:p>
      <w:pPr>
        <w:pStyle w:val="2"/>
        <w:ind w:firstLine="480"/>
        <w:rPr>
          <w:rFonts w:ascii="Times New Roman" w:hAnsi="Times New Roman" w:cs="Times New Roman"/>
        </w:rPr>
      </w:pPr>
      <w:r>
        <w:rPr>
          <w:rFonts w:ascii="Times New Roman" w:hAnsi="Times New Roman" w:cs="Times New Roman"/>
        </w:rPr>
        <w:t>厂家噪声监测仪器设备见表 18。</w:t>
      </w:r>
    </w:p>
    <w:p>
      <w:pPr>
        <w:pStyle w:val="20"/>
        <w:rPr>
          <w:rFonts w:cs="Times New Roman"/>
        </w:rPr>
      </w:pPr>
      <w:r>
        <w:rPr>
          <w:rFonts w:cs="Times New Roman"/>
        </w:rPr>
        <w:t>表 18</w:t>
      </w:r>
      <w:r>
        <w:rPr>
          <w:rFonts w:cs="Times New Roman"/>
        </w:rPr>
        <w:tab/>
      </w:r>
      <w:r>
        <w:rPr>
          <w:rFonts w:cs="Times New Roman"/>
        </w:rPr>
        <w:t>厂界噪声监测仪器设备表</w:t>
      </w:r>
    </w:p>
    <w:tbl>
      <w:tblPr>
        <w:tblStyle w:val="2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1943"/>
        <w:gridCol w:w="2116"/>
        <w:gridCol w:w="2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762" w:type="dxa"/>
          </w:tcPr>
          <w:p>
            <w:pPr>
              <w:pStyle w:val="15"/>
              <w:spacing w:before="85"/>
              <w:ind w:left="438" w:right="429"/>
              <w:rPr>
                <w:rFonts w:ascii="Times New Roman" w:hAnsi="Times New Roman" w:cs="Times New Roman"/>
                <w:b/>
                <w:sz w:val="21"/>
              </w:rPr>
            </w:pPr>
            <w:r>
              <w:rPr>
                <w:rFonts w:ascii="Times New Roman" w:hAnsi="Times New Roman" w:cs="Times New Roman"/>
                <w:b/>
                <w:sz w:val="21"/>
              </w:rPr>
              <w:t>监测项目</w:t>
            </w:r>
          </w:p>
        </w:tc>
        <w:tc>
          <w:tcPr>
            <w:tcW w:w="1943" w:type="dxa"/>
          </w:tcPr>
          <w:p>
            <w:pPr>
              <w:pStyle w:val="15"/>
              <w:spacing w:before="85"/>
              <w:ind w:left="318" w:right="312"/>
              <w:rPr>
                <w:rFonts w:ascii="Times New Roman" w:hAnsi="Times New Roman" w:cs="Times New Roman"/>
                <w:b/>
                <w:sz w:val="21"/>
              </w:rPr>
            </w:pPr>
            <w:r>
              <w:rPr>
                <w:rFonts w:ascii="Times New Roman" w:hAnsi="Times New Roman" w:cs="Times New Roman"/>
                <w:b/>
                <w:sz w:val="21"/>
              </w:rPr>
              <w:t>仪器</w:t>
            </w:r>
          </w:p>
        </w:tc>
        <w:tc>
          <w:tcPr>
            <w:tcW w:w="2116" w:type="dxa"/>
          </w:tcPr>
          <w:p>
            <w:pPr>
              <w:pStyle w:val="15"/>
              <w:spacing w:before="85"/>
              <w:ind w:left="573" w:right="570"/>
              <w:rPr>
                <w:rFonts w:ascii="Times New Roman" w:hAnsi="Times New Roman" w:cs="Times New Roman"/>
                <w:b/>
                <w:sz w:val="21"/>
              </w:rPr>
            </w:pPr>
            <w:r>
              <w:rPr>
                <w:rFonts w:ascii="Times New Roman" w:hAnsi="Times New Roman" w:cs="Times New Roman"/>
                <w:b/>
                <w:sz w:val="21"/>
              </w:rPr>
              <w:t>规格型号</w:t>
            </w:r>
          </w:p>
        </w:tc>
        <w:tc>
          <w:tcPr>
            <w:tcW w:w="2707" w:type="dxa"/>
          </w:tcPr>
          <w:p>
            <w:pPr>
              <w:pStyle w:val="15"/>
              <w:spacing w:before="85"/>
              <w:ind w:left="802" w:right="802"/>
              <w:rPr>
                <w:rFonts w:ascii="Times New Roman" w:hAnsi="Times New Roman" w:cs="Times New Roman"/>
                <w:b/>
                <w:sz w:val="21"/>
              </w:rPr>
            </w:pPr>
            <w:r>
              <w:rPr>
                <w:rFonts w:ascii="Times New Roman" w:hAnsi="Times New Roman"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762" w:type="dxa"/>
          </w:tcPr>
          <w:p>
            <w:pPr>
              <w:pStyle w:val="15"/>
              <w:spacing w:before="85"/>
              <w:ind w:left="438" w:right="427"/>
              <w:rPr>
                <w:rFonts w:ascii="Times New Roman" w:hAnsi="Times New Roman" w:cs="Times New Roman"/>
                <w:sz w:val="21"/>
              </w:rPr>
            </w:pPr>
            <w:r>
              <w:rPr>
                <w:rFonts w:ascii="Times New Roman" w:hAnsi="Times New Roman" w:cs="Times New Roman"/>
                <w:sz w:val="21"/>
              </w:rPr>
              <w:t>厂界噪声</w:t>
            </w:r>
          </w:p>
        </w:tc>
        <w:tc>
          <w:tcPr>
            <w:tcW w:w="1943" w:type="dxa"/>
          </w:tcPr>
          <w:p>
            <w:pPr>
              <w:pStyle w:val="15"/>
              <w:spacing w:before="85"/>
              <w:ind w:left="318" w:right="314"/>
              <w:rPr>
                <w:rFonts w:ascii="Times New Roman" w:hAnsi="Times New Roman" w:cs="Times New Roman"/>
                <w:sz w:val="21"/>
              </w:rPr>
            </w:pPr>
            <w:r>
              <w:rPr>
                <w:rFonts w:ascii="Times New Roman" w:hAnsi="Times New Roman" w:cs="Times New Roman"/>
                <w:sz w:val="21"/>
              </w:rPr>
              <w:t>多功能声级计</w:t>
            </w:r>
          </w:p>
        </w:tc>
        <w:tc>
          <w:tcPr>
            <w:tcW w:w="2116" w:type="dxa"/>
          </w:tcPr>
          <w:p>
            <w:pPr>
              <w:pStyle w:val="15"/>
              <w:spacing w:before="99"/>
              <w:ind w:left="573" w:right="571"/>
              <w:rPr>
                <w:rFonts w:ascii="Times New Roman" w:hAnsi="Times New Roman" w:cs="Times New Roman"/>
                <w:sz w:val="21"/>
              </w:rPr>
            </w:pPr>
            <w:r>
              <w:rPr>
                <w:rFonts w:ascii="Times New Roman" w:hAnsi="Times New Roman" w:cs="Times New Roman"/>
                <w:sz w:val="21"/>
              </w:rPr>
              <w:t>AWA5688</w:t>
            </w:r>
          </w:p>
        </w:tc>
        <w:tc>
          <w:tcPr>
            <w:tcW w:w="2707" w:type="dxa"/>
          </w:tcPr>
          <w:p>
            <w:pPr>
              <w:pStyle w:val="15"/>
              <w:spacing w:before="85"/>
              <w:ind w:left="804" w:right="802"/>
              <w:rPr>
                <w:rFonts w:ascii="Times New Roman" w:hAnsi="Times New Roman" w:cs="Times New Roman"/>
                <w:sz w:val="21"/>
              </w:rPr>
            </w:pPr>
            <w:r>
              <w:rPr>
                <w:rFonts w:ascii="Times New Roman" w:hAnsi="Times New Roman" w:cs="Times New Roman"/>
                <w:sz w:val="21"/>
              </w:rPr>
              <w:t>第三方检测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762" w:type="dxa"/>
          </w:tcPr>
          <w:p>
            <w:pPr>
              <w:pStyle w:val="15"/>
              <w:spacing w:before="85"/>
              <w:ind w:left="438" w:right="427"/>
              <w:rPr>
                <w:rFonts w:ascii="Times New Roman" w:hAnsi="Times New Roman" w:cs="Times New Roman"/>
                <w:sz w:val="21"/>
              </w:rPr>
            </w:pPr>
            <w:r>
              <w:rPr>
                <w:rFonts w:ascii="Times New Roman" w:hAnsi="Times New Roman" w:cs="Times New Roman"/>
                <w:sz w:val="21"/>
              </w:rPr>
              <w:t>厂界噪声</w:t>
            </w:r>
          </w:p>
        </w:tc>
        <w:tc>
          <w:tcPr>
            <w:tcW w:w="1943" w:type="dxa"/>
            <w:vAlign w:val="center"/>
          </w:tcPr>
          <w:p>
            <w:pPr>
              <w:pStyle w:val="15"/>
              <w:spacing w:before="85"/>
              <w:rPr>
                <w:rFonts w:ascii="Times New Roman" w:hAnsi="Times New Roman" w:cs="Times New Roman"/>
                <w:sz w:val="21"/>
              </w:rPr>
            </w:pPr>
            <w:r>
              <w:rPr>
                <w:rFonts w:ascii="Times New Roman" w:hAnsi="Times New Roman" w:cs="Times New Roman"/>
                <w:szCs w:val="28"/>
                <w:lang w:val="en-US"/>
              </w:rPr>
              <w:t xml:space="preserve">声级计校准器 </w:t>
            </w:r>
          </w:p>
        </w:tc>
        <w:tc>
          <w:tcPr>
            <w:tcW w:w="2116" w:type="dxa"/>
            <w:vAlign w:val="center"/>
          </w:tcPr>
          <w:p>
            <w:pPr>
              <w:pStyle w:val="15"/>
              <w:spacing w:before="99"/>
              <w:rPr>
                <w:rFonts w:ascii="Times New Roman" w:hAnsi="Times New Roman" w:cs="Times New Roman"/>
                <w:sz w:val="21"/>
              </w:rPr>
            </w:pPr>
            <w:r>
              <w:rPr>
                <w:rFonts w:ascii="Times New Roman" w:hAnsi="Times New Roman" w:cs="Times New Roman"/>
                <w:szCs w:val="28"/>
                <w:lang w:val="en-US"/>
              </w:rPr>
              <w:t>AWA6022A</w:t>
            </w:r>
          </w:p>
        </w:tc>
        <w:tc>
          <w:tcPr>
            <w:tcW w:w="2707" w:type="dxa"/>
          </w:tcPr>
          <w:p>
            <w:pPr>
              <w:pStyle w:val="15"/>
              <w:spacing w:before="85"/>
              <w:ind w:left="804" w:right="802"/>
              <w:rPr>
                <w:rFonts w:ascii="Times New Roman" w:hAnsi="Times New Roman" w:cs="Times New Roman"/>
                <w:sz w:val="21"/>
              </w:rPr>
            </w:pPr>
            <w:r>
              <w:rPr>
                <w:rFonts w:ascii="Times New Roman" w:hAnsi="Times New Roman" w:cs="Times New Roman"/>
                <w:sz w:val="21"/>
              </w:rPr>
              <w:t>第三方检测</w:t>
            </w:r>
          </w:p>
        </w:tc>
      </w:tr>
    </w:tbl>
    <w:p>
      <w:pPr>
        <w:pStyle w:val="4"/>
        <w:spacing w:before="156"/>
        <w:rPr>
          <w:rFonts w:ascii="Times New Roman" w:hAnsi="Times New Roman" w:cs="Times New Roman"/>
        </w:rPr>
      </w:pPr>
      <w:r>
        <w:rPr>
          <w:rFonts w:ascii="Times New Roman" w:hAnsi="Times New Roman" w:cs="Times New Roman"/>
        </w:rPr>
        <w:t>（五）监测点位示意图</w:t>
      </w:r>
    </w:p>
    <w:p>
      <w:pPr>
        <w:pStyle w:val="2"/>
        <w:ind w:firstLine="480"/>
        <w:rPr>
          <w:rFonts w:ascii="Times New Roman" w:hAnsi="Times New Roman" w:cs="Times New Roman"/>
          <w:sz w:val="20"/>
        </w:rPr>
      </w:pPr>
      <w:r>
        <w:rPr>
          <w:rFonts w:ascii="Times New Roman" w:hAnsi="Times New Roman" w:cs="Times New Roman"/>
        </w:rPr>
        <w:t>本院自行监测采用自动监测和手工监测相结合的技术手段。本院自行监测点位见附图。</w:t>
      </w:r>
      <w:bookmarkStart w:id="4" w:name="_Hlk117174359"/>
    </w:p>
    <w:p>
      <w:pPr>
        <w:pStyle w:val="2"/>
        <w:spacing w:before="156" w:line="365" w:lineRule="auto"/>
        <w:ind w:firstLine="0" w:firstLineChars="0"/>
        <w:jc w:val="center"/>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drawing>
          <wp:inline distT="0" distB="0" distL="114300" distR="114300">
            <wp:extent cx="5273675" cy="2601595"/>
            <wp:effectExtent l="0" t="0" r="3175" b="8255"/>
            <wp:docPr id="3" name="图片 3" descr="747cddd6b4e81f476464d36f10f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47cddd6b4e81f476464d36f10f5482"/>
                    <pic:cNvPicPr>
                      <a:picLocks noChangeAspect="1"/>
                    </pic:cNvPicPr>
                  </pic:nvPicPr>
                  <pic:blipFill>
                    <a:blip r:embed="rId8"/>
                    <a:stretch>
                      <a:fillRect/>
                    </a:stretch>
                  </pic:blipFill>
                  <pic:spPr>
                    <a:xfrm>
                      <a:off x="0" y="0"/>
                      <a:ext cx="5273675" cy="2601595"/>
                    </a:xfrm>
                    <a:prstGeom prst="rect">
                      <a:avLst/>
                    </a:prstGeom>
                  </pic:spPr>
                </pic:pic>
              </a:graphicData>
            </a:graphic>
          </wp:inline>
        </w:drawing>
      </w:r>
    </w:p>
    <w:p>
      <w:pPr>
        <w:pStyle w:val="3"/>
        <w:rPr>
          <w:rFonts w:ascii="Times New Roman" w:hAnsi="Times New Roman" w:cs="Times New Roman"/>
        </w:rPr>
      </w:pPr>
      <w:r>
        <w:rPr>
          <w:rFonts w:ascii="Times New Roman" w:hAnsi="Times New Roman" w:cs="Times New Roman"/>
        </w:rPr>
        <w:t>四、样品采集及保存</w:t>
      </w:r>
    </w:p>
    <w:p>
      <w:pPr>
        <w:pStyle w:val="2"/>
        <w:spacing w:before="156"/>
        <w:ind w:firstLine="480"/>
        <w:rPr>
          <w:rFonts w:ascii="Times New Roman" w:hAnsi="Times New Roman" w:cs="Times New Roman"/>
          <w:lang w:val="en-US"/>
        </w:rPr>
      </w:pPr>
      <w:r>
        <w:rPr>
          <w:rFonts w:ascii="Times New Roman" w:hAnsi="Times New Roman" w:cs="Times New Roman"/>
        </w:rPr>
        <w:t>环境监测要求采集的监测试样必须具有代表性，采样前做好采 样器具、</w:t>
      </w:r>
      <w:r>
        <w:rPr>
          <w:rFonts w:ascii="Times New Roman" w:hAnsi="Times New Roman" w:cs="Times New Roman"/>
          <w:lang w:val="en-US"/>
        </w:rPr>
        <w:t>固定剂和安全防护物品的准备，废水样品采集根据国家标准《水质采样技术指导》(HJ494-2009)选择采样方式、采样瓶及采集样品量，采样容器必须按规范清洗干净，根据被测项目的理化性质，选用不同材质的采样容器。样品容器应按样品类型和项目进 行唯一性标识编号，标签要粘贴在不易磨损、碰撞的部位。污水的监测项目根据行业类型有不同要求。在分时间单元采集样品时，测定pH、CODcr、BOD5、石油类、悬浮物等项目的样品，不能混合，只能单独采样。采样容器的运输应配置专用洁净箱子，以避免受污染。采样时，检查容器编号与点位是否吻合，并先用该采样点的水冲容器2~3次，然后装入水样，水样采集数量应按规定需要量再增加25%，并按国家标准《水质采样样品的保存和管理技术规定》(HJ493-2009)要求立即加入相应的保存剂，同时填写标签和采样记录单。采样结束前，应仔细检查采样记录和水样，若发现有漏采 或不符合规定时，应立即补采或重采。水样送入实验室时，应及时做好样品交接工作，首先要检查水样标签，样品瓶完好性，样品瓶瓶身和瓶盖标识是否统一，采样记录信息是否完整、属实，清点样品数量，检查保存剂添加情况，确认无误时签字验收。如果不能立即进行分析，应尽快采取保存措施，防止水样被污染。</w:t>
      </w:r>
    </w:p>
    <w:p>
      <w:pPr>
        <w:pStyle w:val="2"/>
        <w:spacing w:before="156"/>
        <w:ind w:firstLine="480"/>
        <w:rPr>
          <w:rFonts w:hint="default" w:ascii="Times New Roman" w:hAnsi="Times New Roman" w:eastAsia="宋体" w:cs="Times New Roman"/>
          <w:sz w:val="29"/>
          <w:szCs w:val="29"/>
          <w:lang w:val="en-US" w:eastAsia="zh-CN"/>
        </w:rPr>
      </w:pPr>
      <w:r>
        <w:rPr>
          <w:rFonts w:ascii="Times New Roman" w:hAnsi="Times New Roman" w:cs="Times New Roman"/>
          <w:lang w:val="en-US"/>
        </w:rPr>
        <w:t>废气和环境空气样品采集按国家监测技术规范《固定污染源排气中颗粒物测定与气态污染物采样方法》(GB/T16175-1996)、《固定污染源监测质量保证与质量控制技术规范》(HJ/T373-2007)、《固定源废气监测技术规范》(HJ/T397-2007)、《环境空气质量手工监测技术规范》(HJ/T194-2005)进行布点、采样，移动设备现场采样前后必须进行仪器校准，校准合格后方可使用。用气袋采样时必须事先检查气袋，不得漏气。在采样时，要用现场空气冲洗气袋3~4次，每次冲洗都应把气袋中的残留气体排尽。采样过程中采样人员不能离开现场，不能在采样装置附近吸烟或围观，应经常观察仪器的运转状况，随时注意周围环境和气象条件的变化，并认真做好采样记录。采好的样品应按规定及时妥善处理保存，并存入专业样箱内，连同采样记录及时送实验室分析</w:t>
      </w:r>
      <w:r>
        <w:rPr>
          <w:rFonts w:ascii="Times New Roman" w:hAnsi="Times New Roman" w:cs="Times New Roman"/>
          <w:sz w:val="29"/>
          <w:szCs w:val="29"/>
          <w:lang w:val="en-US"/>
        </w:rPr>
        <w:t>。</w:t>
      </w:r>
      <w:r>
        <w:rPr>
          <w:rFonts w:hint="eastAsia" w:ascii="Times New Roman" w:hAnsi="Times New Roman" w:cs="Times New Roman"/>
          <w:sz w:val="29"/>
          <w:szCs w:val="29"/>
          <w:lang w:val="en-US" w:eastAsia="zh-CN"/>
        </w:rPr>
        <w:t>样品保存方法见下表。</w:t>
      </w:r>
    </w:p>
    <w:tbl>
      <w:tblPr>
        <w:tblStyle w:val="21"/>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1422"/>
        <w:gridCol w:w="2033"/>
        <w:gridCol w:w="2083"/>
        <w:gridCol w:w="1417"/>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809" w:type="dxa"/>
            <w:vAlign w:val="center"/>
          </w:tcPr>
          <w:p>
            <w:pPr>
              <w:pStyle w:val="15"/>
              <w:spacing w:before="53" w:line="252" w:lineRule="exact"/>
              <w:rPr>
                <w:rFonts w:hint="eastAsia" w:ascii="Times New Roman" w:hAnsi="Times New Roman" w:eastAsia="宋体" w:cs="Times New Roman"/>
                <w:b/>
                <w:sz w:val="21"/>
                <w:lang w:eastAsia="zh-CN"/>
              </w:rPr>
            </w:pPr>
            <w:r>
              <w:rPr>
                <w:rFonts w:hint="eastAsia" w:ascii="Times New Roman" w:hAnsi="Times New Roman" w:cs="Times New Roman"/>
                <w:b/>
                <w:sz w:val="21"/>
                <w:lang w:val="en-US" w:eastAsia="zh-CN"/>
              </w:rPr>
              <w:t>序号</w:t>
            </w:r>
          </w:p>
        </w:tc>
        <w:tc>
          <w:tcPr>
            <w:tcW w:w="1422" w:type="dxa"/>
            <w:vAlign w:val="center"/>
          </w:tcPr>
          <w:p>
            <w:pPr>
              <w:pStyle w:val="15"/>
              <w:ind w:left="237" w:right="227"/>
              <w:rPr>
                <w:rFonts w:hint="default" w:ascii="Times New Roman" w:hAnsi="Times New Roman" w:eastAsia="宋体" w:cs="Times New Roman"/>
                <w:b/>
                <w:sz w:val="21"/>
                <w:lang w:val="en-US" w:eastAsia="zh-CN"/>
              </w:rPr>
            </w:pPr>
            <w:r>
              <w:rPr>
                <w:rFonts w:hint="eastAsia" w:ascii="Times New Roman" w:hAnsi="Times New Roman" w:cs="Times New Roman"/>
                <w:b/>
                <w:sz w:val="21"/>
                <w:lang w:val="en-US" w:eastAsia="zh-CN"/>
              </w:rPr>
              <w:t>监测项目</w:t>
            </w:r>
          </w:p>
        </w:tc>
        <w:tc>
          <w:tcPr>
            <w:tcW w:w="2033" w:type="dxa"/>
            <w:vAlign w:val="center"/>
          </w:tcPr>
          <w:p>
            <w:pPr>
              <w:pStyle w:val="15"/>
              <w:ind w:left="78" w:right="69"/>
              <w:rPr>
                <w:rFonts w:hint="default" w:ascii="Times New Roman" w:hAnsi="Times New Roman" w:eastAsia="宋体" w:cs="Times New Roman"/>
                <w:b/>
                <w:sz w:val="21"/>
                <w:lang w:val="en-US" w:eastAsia="zh-CN"/>
              </w:rPr>
            </w:pPr>
            <w:r>
              <w:rPr>
                <w:rFonts w:hint="eastAsia" w:ascii="Times New Roman" w:hAnsi="Times New Roman" w:cs="Times New Roman"/>
                <w:b/>
                <w:sz w:val="21"/>
                <w:lang w:val="en-US" w:eastAsia="zh-CN"/>
              </w:rPr>
              <w:t>采样容器</w:t>
            </w:r>
          </w:p>
        </w:tc>
        <w:tc>
          <w:tcPr>
            <w:tcW w:w="2083" w:type="dxa"/>
            <w:vAlign w:val="center"/>
          </w:tcPr>
          <w:p>
            <w:pPr>
              <w:pStyle w:val="15"/>
              <w:ind w:left="110" w:right="101"/>
              <w:rPr>
                <w:rFonts w:hint="default" w:ascii="Times New Roman" w:hAnsi="Times New Roman" w:eastAsia="宋体" w:cs="Times New Roman"/>
                <w:b/>
                <w:sz w:val="21"/>
                <w:lang w:val="en-US" w:eastAsia="zh-CN"/>
              </w:rPr>
            </w:pPr>
            <w:r>
              <w:rPr>
                <w:rFonts w:hint="eastAsia" w:ascii="Times New Roman" w:hAnsi="Times New Roman" w:cs="Times New Roman"/>
                <w:b/>
                <w:sz w:val="21"/>
                <w:lang w:val="en-US" w:eastAsia="zh-CN"/>
              </w:rPr>
              <w:t>采集或保存方法</w:t>
            </w:r>
          </w:p>
        </w:tc>
        <w:tc>
          <w:tcPr>
            <w:tcW w:w="1417" w:type="dxa"/>
            <w:vAlign w:val="center"/>
          </w:tcPr>
          <w:p>
            <w:pPr>
              <w:pStyle w:val="15"/>
              <w:ind w:left="145" w:right="142"/>
              <w:rPr>
                <w:rFonts w:hint="eastAsia" w:ascii="Times New Roman" w:hAnsi="Times New Roman" w:eastAsia="宋体" w:cs="Times New Roman"/>
                <w:b/>
                <w:sz w:val="21"/>
                <w:lang w:eastAsia="zh-CN"/>
              </w:rPr>
            </w:pPr>
            <w:r>
              <w:rPr>
                <w:rFonts w:hint="eastAsia" w:ascii="Times New Roman" w:hAnsi="Times New Roman" w:cs="Times New Roman"/>
                <w:b/>
                <w:sz w:val="21"/>
                <w:lang w:val="en-US" w:eastAsia="zh-CN"/>
              </w:rPr>
              <w:t>保存期限</w:t>
            </w:r>
          </w:p>
        </w:tc>
        <w:tc>
          <w:tcPr>
            <w:tcW w:w="1600" w:type="dxa"/>
            <w:vAlign w:val="center"/>
          </w:tcPr>
          <w:p>
            <w:pPr>
              <w:pStyle w:val="15"/>
              <w:ind w:left="145" w:right="142"/>
              <w:rPr>
                <w:rFonts w:hint="default" w:ascii="Times New Roman" w:hAnsi="Times New Roman" w:cs="Times New Roman"/>
                <w:b/>
                <w:sz w:val="21"/>
                <w:lang w:val="en-US" w:eastAsia="zh-CN"/>
              </w:rPr>
            </w:pPr>
            <w:r>
              <w:rPr>
                <w:rFonts w:hint="eastAsia" w:ascii="Times New Roman" w:hAnsi="Times New Roman" w:cs="Times New Roman"/>
                <w:b/>
                <w:sz w:val="21"/>
                <w:lang w:val="en-US" w:eastAsia="zh-CN"/>
              </w:rPr>
              <w:t>采样量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9" w:type="dxa"/>
            <w:tcBorders>
              <w:top w:val="nil"/>
            </w:tcBorders>
            <w:vAlign w:val="center"/>
          </w:tcPr>
          <w:p>
            <w:pPr>
              <w:jc w:val="center"/>
              <w:rPr>
                <w:rFonts w:hint="default" w:ascii="Times New Roman" w:hAnsi="Times New Roman" w:eastAsia="宋体" w:cs="Times New Roman"/>
                <w:sz w:val="2"/>
                <w:szCs w:val="2"/>
                <w:lang w:val="en-US" w:eastAsia="zh-CN"/>
              </w:rPr>
            </w:pPr>
            <w:r>
              <w:rPr>
                <w:rFonts w:hint="eastAsia" w:ascii="Times New Roman" w:hAnsi="Times New Roman" w:cs="Times New Roman"/>
                <w:b w:val="0"/>
                <w:bCs/>
                <w:lang w:val="en-US" w:eastAsia="zh-CN"/>
              </w:rPr>
              <w:t>1</w:t>
            </w:r>
          </w:p>
        </w:tc>
        <w:tc>
          <w:tcPr>
            <w:tcW w:w="1422" w:type="dxa"/>
            <w:vAlign w:val="center"/>
          </w:tcPr>
          <w:p>
            <w:pPr>
              <w:pStyle w:val="15"/>
              <w:spacing w:before="85"/>
              <w:ind w:left="237" w:right="227"/>
              <w:rPr>
                <w:rFonts w:ascii="Times New Roman" w:hAnsi="Times New Roman" w:cs="Times New Roman"/>
                <w:sz w:val="21"/>
              </w:rPr>
            </w:pPr>
            <w:r>
              <w:rPr>
                <w:rFonts w:ascii="Times New Roman" w:hAnsi="Times New Roman" w:cs="Times New Roman"/>
                <w:sz w:val="21"/>
              </w:rPr>
              <w:t>悬浮物</w:t>
            </w:r>
          </w:p>
        </w:tc>
        <w:tc>
          <w:tcPr>
            <w:tcW w:w="2033" w:type="dxa"/>
            <w:vAlign w:val="center"/>
          </w:tcPr>
          <w:p>
            <w:pPr>
              <w:pStyle w:val="15"/>
              <w:spacing w:before="85"/>
              <w:ind w:left="76" w:right="69"/>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P或G</w:t>
            </w:r>
          </w:p>
        </w:tc>
        <w:tc>
          <w:tcPr>
            <w:tcW w:w="2083" w:type="dxa"/>
            <w:vAlign w:val="center"/>
          </w:tcPr>
          <w:p>
            <w:pPr>
              <w:pStyle w:val="15"/>
              <w:spacing w:before="99"/>
              <w:ind w:left="110" w:right="104"/>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冷藏、避光、自行取样</w:t>
            </w:r>
          </w:p>
        </w:tc>
        <w:tc>
          <w:tcPr>
            <w:tcW w:w="1417" w:type="dxa"/>
            <w:vAlign w:val="center"/>
          </w:tcPr>
          <w:p>
            <w:pPr>
              <w:pStyle w:val="15"/>
              <w:spacing w:before="85"/>
              <w:ind w:left="148" w:right="142"/>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14d</w:t>
            </w:r>
          </w:p>
        </w:tc>
        <w:tc>
          <w:tcPr>
            <w:tcW w:w="1600" w:type="dxa"/>
            <w:vAlign w:val="center"/>
          </w:tcPr>
          <w:p>
            <w:pPr>
              <w:pStyle w:val="15"/>
              <w:spacing w:before="85"/>
              <w:ind w:left="148" w:right="142"/>
              <w:rPr>
                <w:rFonts w:hint="default" w:ascii="Times New Roman" w:hAnsi="Times New Roman" w:eastAsia="宋体" w:cs="Times New Roman"/>
                <w:b w:val="0"/>
                <w:bCs/>
                <w:lang w:val="en-US" w:eastAsia="zh-CN"/>
              </w:rPr>
            </w:pPr>
            <w:r>
              <w:rPr>
                <w:rFonts w:hint="eastAsia" w:ascii="Times New Roman" w:hAnsi="Times New Roman" w:cs="Times New Roman"/>
                <w:b w:val="0"/>
                <w:bCs/>
                <w:lang w:val="en-US" w:eastAsia="zh-CN"/>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09" w:type="dxa"/>
            <w:tcBorders>
              <w:top w:val="nil"/>
            </w:tcBorders>
            <w:vAlign w:val="center"/>
          </w:tcPr>
          <w:p>
            <w:pPr>
              <w:jc w:val="center"/>
              <w:rPr>
                <w:rFonts w:hint="default"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2</w:t>
            </w:r>
          </w:p>
        </w:tc>
        <w:tc>
          <w:tcPr>
            <w:tcW w:w="1422" w:type="dxa"/>
            <w:vAlign w:val="center"/>
          </w:tcPr>
          <w:p>
            <w:pPr>
              <w:pStyle w:val="15"/>
              <w:spacing w:before="85"/>
              <w:ind w:left="237" w:right="227"/>
              <w:rPr>
                <w:rFonts w:ascii="Times New Roman" w:hAnsi="Times New Roman" w:cs="Times New Roman"/>
                <w:sz w:val="21"/>
              </w:rPr>
            </w:pPr>
            <w:r>
              <w:rPr>
                <w:rFonts w:ascii="Times New Roman" w:hAnsi="Times New Roman" w:cs="Times New Roman"/>
                <w:sz w:val="21"/>
              </w:rPr>
              <w:t>五日生化需氧量</w:t>
            </w:r>
          </w:p>
        </w:tc>
        <w:tc>
          <w:tcPr>
            <w:tcW w:w="2033" w:type="dxa"/>
            <w:vAlign w:val="center"/>
          </w:tcPr>
          <w:p>
            <w:pPr>
              <w:pStyle w:val="15"/>
              <w:spacing w:before="85"/>
              <w:ind w:left="76" w:right="69"/>
              <w:jc w:val="center"/>
              <w:rPr>
                <w:rFonts w:ascii="Times New Roman" w:hAnsi="Times New Roman" w:cs="Times New Roman"/>
                <w:sz w:val="21"/>
              </w:rPr>
            </w:pPr>
            <w:r>
              <w:rPr>
                <w:rFonts w:hint="eastAsia" w:ascii="Times New Roman" w:hAnsi="Times New Roman" w:cs="Times New Roman"/>
                <w:sz w:val="21"/>
                <w:lang w:val="en-US" w:eastAsia="zh-CN"/>
              </w:rPr>
              <w:t>P</w:t>
            </w:r>
          </w:p>
        </w:tc>
        <w:tc>
          <w:tcPr>
            <w:tcW w:w="2083" w:type="dxa"/>
            <w:vAlign w:val="center"/>
          </w:tcPr>
          <w:p>
            <w:pPr>
              <w:pStyle w:val="15"/>
              <w:spacing w:before="99"/>
              <w:ind w:left="110" w:right="106"/>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-20°冷冻</w:t>
            </w:r>
          </w:p>
        </w:tc>
        <w:tc>
          <w:tcPr>
            <w:tcW w:w="1417" w:type="dxa"/>
            <w:vAlign w:val="center"/>
          </w:tcPr>
          <w:p>
            <w:pPr>
              <w:spacing w:before="85"/>
              <w:ind w:left="148" w:right="142"/>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30d</w:t>
            </w:r>
          </w:p>
        </w:tc>
        <w:tc>
          <w:tcPr>
            <w:tcW w:w="1600" w:type="dxa"/>
            <w:vAlign w:val="center"/>
          </w:tcPr>
          <w:p>
            <w:pPr>
              <w:spacing w:before="85"/>
              <w:ind w:left="148" w:right="142"/>
              <w:rPr>
                <w:rFonts w:hint="default" w:ascii="Times New Roman" w:hAnsi="Times New Roman" w:eastAsia="宋体" w:cs="Times New Roman"/>
                <w:b w:val="0"/>
                <w:bCs/>
                <w:lang w:val="en-US" w:eastAsia="zh-CN"/>
              </w:rPr>
            </w:pPr>
            <w:r>
              <w:rPr>
                <w:rFonts w:hint="eastAsia" w:ascii="Times New Roman" w:hAnsi="Times New Roman" w:cs="Times New Roman"/>
                <w:b w:val="0"/>
                <w:bCs/>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809" w:type="dxa"/>
            <w:tcBorders>
              <w:top w:val="nil"/>
            </w:tcBorders>
            <w:vAlign w:val="center"/>
          </w:tcPr>
          <w:p>
            <w:pPr>
              <w:jc w:val="center"/>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3</w:t>
            </w:r>
          </w:p>
        </w:tc>
        <w:tc>
          <w:tcPr>
            <w:tcW w:w="1422" w:type="dxa"/>
            <w:vAlign w:val="center"/>
          </w:tcPr>
          <w:p>
            <w:pPr>
              <w:pStyle w:val="15"/>
              <w:spacing w:before="87"/>
              <w:ind w:left="237" w:right="229"/>
              <w:rPr>
                <w:rFonts w:ascii="Times New Roman" w:hAnsi="Times New Roman" w:cs="Times New Roman"/>
                <w:sz w:val="21"/>
              </w:rPr>
            </w:pPr>
            <w:r>
              <w:rPr>
                <w:rFonts w:ascii="Times New Roman" w:hAnsi="Times New Roman" w:cs="Times New Roman"/>
                <w:sz w:val="21"/>
              </w:rPr>
              <w:t>动植物油</w:t>
            </w:r>
          </w:p>
        </w:tc>
        <w:tc>
          <w:tcPr>
            <w:tcW w:w="2033" w:type="dxa"/>
            <w:vAlign w:val="center"/>
          </w:tcPr>
          <w:p>
            <w:pPr>
              <w:spacing w:before="87"/>
              <w:ind w:left="78" w:right="69"/>
              <w:jc w:val="center"/>
              <w:rPr>
                <w:rFonts w:ascii="Times New Roman" w:hAnsi="Times New Roman" w:cs="Times New Roman"/>
                <w:sz w:val="21"/>
              </w:rPr>
            </w:pPr>
            <w:r>
              <w:rPr>
                <w:rFonts w:hint="eastAsia" w:ascii="Times New Roman" w:hAnsi="Times New Roman" w:cs="Times New Roman"/>
                <w:sz w:val="21"/>
                <w:lang w:val="en-US" w:eastAsia="zh-CN"/>
              </w:rPr>
              <w:t>G</w:t>
            </w:r>
          </w:p>
        </w:tc>
        <w:tc>
          <w:tcPr>
            <w:tcW w:w="2083" w:type="dxa"/>
            <w:vAlign w:val="center"/>
          </w:tcPr>
          <w:p>
            <w:pPr>
              <w:pStyle w:val="15"/>
              <w:spacing w:before="87"/>
              <w:ind w:left="110" w:right="102"/>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加HCl，PH</w:t>
            </w:r>
            <w:r>
              <w:rPr>
                <w:rFonts w:hint="default" w:ascii="Arial" w:hAnsi="Arial" w:cs="Arial"/>
                <w:sz w:val="21"/>
                <w:lang w:val="en-US" w:eastAsia="zh-CN"/>
              </w:rPr>
              <w:t>≤</w:t>
            </w:r>
            <w:r>
              <w:rPr>
                <w:rFonts w:hint="eastAsia" w:ascii="Arial" w:hAnsi="Arial" w:cs="Arial"/>
                <w:sz w:val="21"/>
                <w:lang w:val="en-US" w:eastAsia="zh-CN"/>
              </w:rPr>
              <w:t>2</w:t>
            </w:r>
            <w:r>
              <w:rPr>
                <w:rFonts w:hint="default" w:ascii="Arial" w:hAnsi="Arial" w:cs="Arial"/>
                <w:sz w:val="21"/>
                <w:lang w:val="en-US" w:eastAsia="zh-CN"/>
              </w:rPr>
              <w:t>≥</w:t>
            </w:r>
          </w:p>
        </w:tc>
        <w:tc>
          <w:tcPr>
            <w:tcW w:w="1417" w:type="dxa"/>
            <w:vAlign w:val="center"/>
          </w:tcPr>
          <w:p>
            <w:pPr>
              <w:spacing w:before="87"/>
              <w:ind w:left="148" w:right="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7d</w:t>
            </w:r>
          </w:p>
        </w:tc>
        <w:tc>
          <w:tcPr>
            <w:tcW w:w="1600" w:type="dxa"/>
            <w:vAlign w:val="center"/>
          </w:tcPr>
          <w:p>
            <w:pPr>
              <w:spacing w:before="87"/>
              <w:ind w:left="148" w:right="142"/>
              <w:rPr>
                <w:rFonts w:hint="default" w:ascii="Times New Roman" w:hAnsi="Times New Roman" w:eastAsia="宋体" w:cs="Times New Roman"/>
                <w:b w:val="0"/>
                <w:bCs/>
                <w:lang w:val="en-US" w:eastAsia="zh-CN"/>
              </w:rPr>
            </w:pPr>
            <w:r>
              <w:rPr>
                <w:rFonts w:hint="eastAsia" w:ascii="Times New Roman" w:hAnsi="Times New Roman" w:cs="Times New Roman"/>
                <w:b w:val="0"/>
                <w:bCs/>
                <w:lang w:val="en-US" w:eastAsia="zh-CN"/>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09" w:type="dxa"/>
            <w:tcBorders>
              <w:top w:val="nil"/>
            </w:tcBorders>
            <w:vAlign w:val="center"/>
          </w:tcPr>
          <w:p>
            <w:pPr>
              <w:jc w:val="center"/>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4</w:t>
            </w:r>
          </w:p>
        </w:tc>
        <w:tc>
          <w:tcPr>
            <w:tcW w:w="1422" w:type="dxa"/>
            <w:vAlign w:val="center"/>
          </w:tcPr>
          <w:p>
            <w:pPr>
              <w:pStyle w:val="15"/>
              <w:spacing w:before="85"/>
              <w:ind w:left="237" w:right="227"/>
              <w:rPr>
                <w:rFonts w:ascii="Times New Roman" w:hAnsi="Times New Roman" w:cs="Times New Roman"/>
                <w:sz w:val="21"/>
              </w:rPr>
            </w:pPr>
            <w:r>
              <w:rPr>
                <w:rFonts w:ascii="Times New Roman" w:hAnsi="Times New Roman" w:cs="Times New Roman"/>
                <w:sz w:val="21"/>
              </w:rPr>
              <w:t>石油类</w:t>
            </w:r>
          </w:p>
        </w:tc>
        <w:tc>
          <w:tcPr>
            <w:tcW w:w="2033" w:type="dxa"/>
            <w:vAlign w:val="center"/>
          </w:tcPr>
          <w:p>
            <w:pPr>
              <w:spacing w:before="85"/>
              <w:ind w:left="78" w:right="69"/>
              <w:jc w:val="center"/>
              <w:rPr>
                <w:rFonts w:ascii="Times New Roman" w:hAnsi="Times New Roman" w:cs="Times New Roman"/>
                <w:sz w:val="21"/>
              </w:rPr>
            </w:pPr>
            <w:r>
              <w:rPr>
                <w:rFonts w:hint="eastAsia" w:ascii="Times New Roman" w:hAnsi="Times New Roman" w:cs="Times New Roman"/>
                <w:sz w:val="21"/>
                <w:lang w:val="en-US" w:eastAsia="zh-CN"/>
              </w:rPr>
              <w:t>G</w:t>
            </w:r>
          </w:p>
        </w:tc>
        <w:tc>
          <w:tcPr>
            <w:tcW w:w="2083" w:type="dxa"/>
            <w:vAlign w:val="center"/>
          </w:tcPr>
          <w:p>
            <w:pPr>
              <w:pStyle w:val="15"/>
              <w:spacing w:before="85"/>
              <w:ind w:left="110" w:right="102"/>
              <w:rPr>
                <w:rFonts w:ascii="Times New Roman" w:hAnsi="Times New Roman" w:eastAsia="Times New Roman" w:cs="Times New Roman"/>
                <w:sz w:val="21"/>
              </w:rPr>
            </w:pPr>
            <w:r>
              <w:rPr>
                <w:rFonts w:hint="eastAsia" w:ascii="Times New Roman" w:hAnsi="Times New Roman" w:cs="Times New Roman"/>
                <w:sz w:val="21"/>
                <w:lang w:val="en-US" w:eastAsia="zh-CN"/>
              </w:rPr>
              <w:t>加HCl，PH</w:t>
            </w:r>
            <w:r>
              <w:rPr>
                <w:rFonts w:hint="default" w:ascii="Arial" w:hAnsi="Arial" w:cs="Arial"/>
                <w:sz w:val="21"/>
                <w:lang w:val="en-US" w:eastAsia="zh-CN"/>
              </w:rPr>
              <w:t>≤</w:t>
            </w:r>
            <w:r>
              <w:rPr>
                <w:rFonts w:hint="eastAsia" w:ascii="Arial" w:hAnsi="Arial" w:cs="Arial"/>
                <w:sz w:val="21"/>
                <w:lang w:val="en-US" w:eastAsia="zh-CN"/>
              </w:rPr>
              <w:t>2</w:t>
            </w:r>
          </w:p>
        </w:tc>
        <w:tc>
          <w:tcPr>
            <w:tcW w:w="1417" w:type="dxa"/>
            <w:vAlign w:val="center"/>
          </w:tcPr>
          <w:p>
            <w:pPr>
              <w:spacing w:before="85"/>
              <w:ind w:left="148" w:right="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7d</w:t>
            </w:r>
          </w:p>
        </w:tc>
        <w:tc>
          <w:tcPr>
            <w:tcW w:w="1600" w:type="dxa"/>
            <w:vAlign w:val="center"/>
          </w:tcPr>
          <w:p>
            <w:pPr>
              <w:spacing w:before="85"/>
              <w:ind w:left="148" w:right="142"/>
              <w:rPr>
                <w:rFonts w:hint="default" w:ascii="Times New Roman" w:hAnsi="Times New Roman" w:eastAsia="宋体" w:cs="Times New Roman"/>
                <w:b w:val="0"/>
                <w:bCs/>
                <w:lang w:val="en-US" w:eastAsia="zh-CN"/>
              </w:rPr>
            </w:pPr>
            <w:r>
              <w:rPr>
                <w:rFonts w:hint="eastAsia" w:ascii="Times New Roman" w:hAnsi="Times New Roman" w:cs="Times New Roman"/>
                <w:b w:val="0"/>
                <w:bCs/>
                <w:lang w:val="en-US" w:eastAsia="zh-CN"/>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09" w:type="dxa"/>
            <w:tcBorders>
              <w:top w:val="nil"/>
            </w:tcBorders>
            <w:vAlign w:val="center"/>
          </w:tcPr>
          <w:p>
            <w:pPr>
              <w:jc w:val="center"/>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5</w:t>
            </w:r>
          </w:p>
        </w:tc>
        <w:tc>
          <w:tcPr>
            <w:tcW w:w="1422" w:type="dxa"/>
            <w:vAlign w:val="center"/>
          </w:tcPr>
          <w:p>
            <w:pPr>
              <w:pStyle w:val="15"/>
              <w:spacing w:before="85"/>
              <w:ind w:left="237" w:right="229"/>
              <w:rPr>
                <w:rFonts w:ascii="Times New Roman" w:hAnsi="Times New Roman" w:cs="Times New Roman"/>
                <w:sz w:val="21"/>
              </w:rPr>
            </w:pPr>
            <w:r>
              <w:rPr>
                <w:rFonts w:ascii="Times New Roman" w:hAnsi="Times New Roman" w:cs="Times New Roman"/>
                <w:sz w:val="21"/>
              </w:rPr>
              <w:t>阴离子表面活性剂</w:t>
            </w:r>
          </w:p>
        </w:tc>
        <w:tc>
          <w:tcPr>
            <w:tcW w:w="2033" w:type="dxa"/>
            <w:vAlign w:val="center"/>
          </w:tcPr>
          <w:p>
            <w:pPr>
              <w:spacing w:before="85"/>
              <w:ind w:left="78" w:right="69"/>
              <w:jc w:val="center"/>
              <w:rPr>
                <w:rFonts w:ascii="Times New Roman" w:hAnsi="Times New Roman" w:cs="Times New Roman"/>
                <w:sz w:val="21"/>
              </w:rPr>
            </w:pPr>
            <w:r>
              <w:rPr>
                <w:rFonts w:hint="eastAsia" w:ascii="Times New Roman" w:hAnsi="Times New Roman" w:cs="Times New Roman"/>
                <w:sz w:val="21"/>
                <w:lang w:val="en-US" w:eastAsia="zh-CN"/>
              </w:rPr>
              <w:t>G</w:t>
            </w:r>
          </w:p>
        </w:tc>
        <w:tc>
          <w:tcPr>
            <w:tcW w:w="2083" w:type="dxa"/>
            <w:vAlign w:val="center"/>
          </w:tcPr>
          <w:p>
            <w:pPr>
              <w:pStyle w:val="15"/>
              <w:spacing w:before="85"/>
              <w:ind w:left="110" w:right="101"/>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1%(V/V)的甲醛，0-5°C冷藏</w:t>
            </w:r>
          </w:p>
        </w:tc>
        <w:tc>
          <w:tcPr>
            <w:tcW w:w="1417" w:type="dxa"/>
            <w:vAlign w:val="center"/>
          </w:tcPr>
          <w:p>
            <w:pPr>
              <w:spacing w:before="85"/>
              <w:ind w:left="148" w:right="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4d</w:t>
            </w:r>
          </w:p>
        </w:tc>
        <w:tc>
          <w:tcPr>
            <w:tcW w:w="1600" w:type="dxa"/>
            <w:vAlign w:val="center"/>
          </w:tcPr>
          <w:p>
            <w:pPr>
              <w:spacing w:before="85"/>
              <w:ind w:left="148" w:right="142"/>
              <w:rPr>
                <w:rFonts w:hint="eastAsia" w:ascii="Times New Roman" w:hAnsi="Times New Roman" w:eastAsia="宋体" w:cs="Times New Roman"/>
                <w:b w:val="0"/>
                <w:bCs/>
                <w:lang w:val="en-US" w:eastAsia="zh-CN"/>
              </w:rPr>
            </w:pPr>
            <w:r>
              <w:rPr>
                <w:rFonts w:hint="eastAsia" w:ascii="Times New Roman" w:hAnsi="Times New Roman" w:cs="Times New Roman"/>
                <w:b w:val="0"/>
                <w:bCs/>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809" w:type="dxa"/>
            <w:tcBorders>
              <w:top w:val="nil"/>
            </w:tcBorders>
            <w:vAlign w:val="center"/>
          </w:tcPr>
          <w:p>
            <w:pPr>
              <w:jc w:val="center"/>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6</w:t>
            </w:r>
          </w:p>
        </w:tc>
        <w:tc>
          <w:tcPr>
            <w:tcW w:w="1422" w:type="dxa"/>
            <w:vAlign w:val="center"/>
          </w:tcPr>
          <w:p>
            <w:pPr>
              <w:pStyle w:val="15"/>
              <w:spacing w:before="85"/>
              <w:ind w:left="237" w:right="227"/>
              <w:rPr>
                <w:rFonts w:ascii="Times New Roman" w:hAnsi="Times New Roman" w:cs="Times New Roman"/>
                <w:sz w:val="21"/>
              </w:rPr>
            </w:pPr>
            <w:r>
              <w:rPr>
                <w:rFonts w:ascii="Times New Roman" w:hAnsi="Times New Roman" w:cs="Times New Roman"/>
                <w:sz w:val="21"/>
              </w:rPr>
              <w:t>挥发酚</w:t>
            </w:r>
          </w:p>
        </w:tc>
        <w:tc>
          <w:tcPr>
            <w:tcW w:w="2033" w:type="dxa"/>
            <w:vAlign w:val="center"/>
          </w:tcPr>
          <w:p>
            <w:pPr>
              <w:spacing w:before="85"/>
              <w:ind w:left="78" w:right="69"/>
              <w:jc w:val="center"/>
              <w:rPr>
                <w:rFonts w:ascii="Times New Roman" w:hAnsi="Times New Roman" w:cs="Times New Roman"/>
                <w:sz w:val="21"/>
              </w:rPr>
            </w:pPr>
            <w:r>
              <w:rPr>
                <w:rFonts w:hint="eastAsia" w:ascii="Times New Roman" w:hAnsi="Times New Roman" w:cs="Times New Roman"/>
                <w:sz w:val="21"/>
                <w:lang w:val="en-US" w:eastAsia="zh-CN"/>
              </w:rPr>
              <w:t>G</w:t>
            </w:r>
          </w:p>
        </w:tc>
        <w:tc>
          <w:tcPr>
            <w:tcW w:w="2083" w:type="dxa"/>
            <w:vAlign w:val="center"/>
          </w:tcPr>
          <w:p>
            <w:pPr>
              <w:pStyle w:val="15"/>
              <w:spacing w:before="85"/>
              <w:ind w:left="110" w:right="101"/>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H</w:t>
            </w:r>
            <w:r>
              <w:rPr>
                <w:rFonts w:hint="eastAsia" w:ascii="Times New Roman" w:hAnsi="Times New Roman" w:cs="Times New Roman"/>
                <w:sz w:val="21"/>
                <w:vertAlign w:val="subscript"/>
                <w:lang w:val="en-US" w:eastAsia="zh-CN"/>
              </w:rPr>
              <w:t>3</w:t>
            </w:r>
            <w:r>
              <w:rPr>
                <w:rFonts w:hint="eastAsia" w:ascii="Times New Roman" w:hAnsi="Times New Roman" w:cs="Times New Roman"/>
                <w:sz w:val="21"/>
                <w:lang w:val="en-US" w:eastAsia="zh-CN"/>
              </w:rPr>
              <w:t>PO</w:t>
            </w:r>
            <w:r>
              <w:rPr>
                <w:rFonts w:hint="eastAsia" w:ascii="Times New Roman" w:hAnsi="Times New Roman" w:cs="Times New Roman"/>
                <w:sz w:val="21"/>
                <w:vertAlign w:val="subscript"/>
                <w:lang w:val="en-US" w:eastAsia="zh-CN"/>
              </w:rPr>
              <w:t>4</w:t>
            </w:r>
            <w:r>
              <w:rPr>
                <w:rFonts w:hint="eastAsia" w:ascii="Times New Roman" w:hAnsi="Times New Roman" w:cs="Times New Roman"/>
                <w:sz w:val="21"/>
                <w:lang w:val="en-US" w:eastAsia="zh-CN"/>
              </w:rPr>
              <w:t>，PH约为2，用0.01-0.02g抗坏血酸除去残余氧</w:t>
            </w:r>
          </w:p>
        </w:tc>
        <w:tc>
          <w:tcPr>
            <w:tcW w:w="1417" w:type="dxa"/>
            <w:vAlign w:val="center"/>
          </w:tcPr>
          <w:p>
            <w:pPr>
              <w:spacing w:before="85"/>
              <w:ind w:left="148" w:right="142"/>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24d</w:t>
            </w:r>
          </w:p>
        </w:tc>
        <w:tc>
          <w:tcPr>
            <w:tcW w:w="1600" w:type="dxa"/>
            <w:vAlign w:val="center"/>
          </w:tcPr>
          <w:p>
            <w:pPr>
              <w:spacing w:before="85"/>
              <w:ind w:left="148" w:right="142"/>
              <w:rPr>
                <w:rFonts w:hint="default" w:ascii="Times New Roman" w:hAnsi="Times New Roman" w:eastAsia="宋体" w:cs="Times New Roman"/>
                <w:b w:val="0"/>
                <w:bCs/>
                <w:lang w:val="en-US" w:eastAsia="zh-CN"/>
              </w:rPr>
            </w:pPr>
            <w:r>
              <w:rPr>
                <w:rFonts w:hint="eastAsia" w:ascii="Times New Roman" w:hAnsi="Times New Roman" w:cs="Times New Roman"/>
                <w:b w:val="0"/>
                <w:bCs/>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09" w:type="dxa"/>
            <w:tcBorders>
              <w:top w:val="nil"/>
            </w:tcBorders>
            <w:vAlign w:val="center"/>
          </w:tcPr>
          <w:p>
            <w:pPr>
              <w:jc w:val="center"/>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7</w:t>
            </w:r>
          </w:p>
        </w:tc>
        <w:tc>
          <w:tcPr>
            <w:tcW w:w="1422" w:type="dxa"/>
            <w:vAlign w:val="center"/>
          </w:tcPr>
          <w:p>
            <w:pPr>
              <w:spacing w:before="85"/>
              <w:ind w:left="237" w:right="229"/>
              <w:rPr>
                <w:rFonts w:hint="default" w:ascii="Times New Roman" w:hAnsi="Times New Roman" w:cs="Times New Roman"/>
                <w:sz w:val="21"/>
                <w:lang w:val="en-US"/>
              </w:rPr>
            </w:pPr>
            <w:r>
              <w:rPr>
                <w:rFonts w:hint="eastAsia" w:ascii="Times New Roman" w:hAnsi="Times New Roman" w:cs="Times New Roman"/>
                <w:sz w:val="21"/>
                <w:lang w:val="en-US" w:eastAsia="zh-CN"/>
              </w:rPr>
              <w:t>总氰化物</w:t>
            </w:r>
          </w:p>
        </w:tc>
        <w:tc>
          <w:tcPr>
            <w:tcW w:w="2033" w:type="dxa"/>
            <w:vAlign w:val="center"/>
          </w:tcPr>
          <w:p>
            <w:pPr>
              <w:spacing w:before="85"/>
              <w:ind w:left="78" w:right="69"/>
              <w:jc w:val="center"/>
              <w:rPr>
                <w:rFonts w:ascii="Times New Roman" w:hAnsi="Times New Roman" w:cs="Times New Roman"/>
                <w:sz w:val="21"/>
              </w:rPr>
            </w:pPr>
            <w:r>
              <w:rPr>
                <w:rFonts w:hint="eastAsia" w:ascii="Times New Roman" w:hAnsi="Times New Roman" w:cs="Times New Roman"/>
                <w:sz w:val="21"/>
                <w:lang w:val="en-US" w:eastAsia="zh-CN"/>
              </w:rPr>
              <w:t>P或G</w:t>
            </w:r>
          </w:p>
        </w:tc>
        <w:tc>
          <w:tcPr>
            <w:tcW w:w="2083" w:type="dxa"/>
            <w:vAlign w:val="center"/>
          </w:tcPr>
          <w:p>
            <w:pPr>
              <w:pStyle w:val="15"/>
              <w:spacing w:before="85"/>
              <w:ind w:left="110" w:right="101"/>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加NaOH，PH</w:t>
            </w:r>
            <w:r>
              <w:rPr>
                <w:rFonts w:hint="default" w:ascii="Arial" w:hAnsi="Arial" w:cs="Arial"/>
                <w:sz w:val="21"/>
                <w:lang w:val="en-US" w:eastAsia="zh-CN"/>
              </w:rPr>
              <w:t>≥</w:t>
            </w:r>
            <w:r>
              <w:rPr>
                <w:rFonts w:hint="eastAsia" w:ascii="Arial" w:hAnsi="Arial" w:cs="Arial"/>
                <w:sz w:val="21"/>
                <w:lang w:val="en-US" w:eastAsia="zh-CN"/>
              </w:rPr>
              <w:t>9,1-5°C冷藏</w:t>
            </w:r>
          </w:p>
        </w:tc>
        <w:tc>
          <w:tcPr>
            <w:tcW w:w="1417" w:type="dxa"/>
            <w:vAlign w:val="center"/>
          </w:tcPr>
          <w:p>
            <w:pPr>
              <w:spacing w:before="85"/>
              <w:ind w:left="148" w:right="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7d</w:t>
            </w:r>
          </w:p>
        </w:tc>
        <w:tc>
          <w:tcPr>
            <w:tcW w:w="1600" w:type="dxa"/>
            <w:vAlign w:val="center"/>
          </w:tcPr>
          <w:p>
            <w:pPr>
              <w:spacing w:before="85"/>
              <w:ind w:left="148" w:right="142"/>
              <w:rPr>
                <w:rFonts w:hint="default" w:ascii="Times New Roman" w:hAnsi="Times New Roman" w:eastAsia="宋体" w:cs="Times New Roman"/>
                <w:b w:val="0"/>
                <w:bCs/>
                <w:lang w:val="en-US" w:eastAsia="zh-CN"/>
              </w:rPr>
            </w:pPr>
            <w:r>
              <w:rPr>
                <w:rFonts w:hint="eastAsia" w:ascii="Times New Roman" w:hAnsi="Times New Roman" w:cs="Times New Roman"/>
                <w:b w:val="0"/>
                <w:bCs/>
                <w:lang w:val="en-US" w:eastAsia="zh-CN"/>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809" w:type="dxa"/>
            <w:tcBorders>
              <w:top w:val="nil"/>
            </w:tcBorders>
            <w:vAlign w:val="center"/>
          </w:tcPr>
          <w:p>
            <w:pPr>
              <w:jc w:val="center"/>
              <w:rPr>
                <w:rFonts w:hint="eastAsia" w:ascii="Times New Roman" w:hAnsi="Times New Roman" w:eastAsia="宋体" w:cs="Times New Roman"/>
                <w:sz w:val="21"/>
                <w:szCs w:val="22"/>
                <w:lang w:val="en-US" w:eastAsia="zh-CN" w:bidi="zh-CN"/>
              </w:rPr>
            </w:pPr>
            <w:r>
              <w:rPr>
                <w:rFonts w:hint="eastAsia" w:ascii="Times New Roman" w:hAnsi="Times New Roman" w:eastAsia="宋体" w:cs="Times New Roman"/>
                <w:sz w:val="21"/>
                <w:szCs w:val="22"/>
                <w:lang w:val="en-US" w:eastAsia="zh-CN" w:bidi="zh-CN"/>
              </w:rPr>
              <w:t>8</w:t>
            </w:r>
          </w:p>
        </w:tc>
        <w:tc>
          <w:tcPr>
            <w:tcW w:w="1422" w:type="dxa"/>
            <w:vAlign w:val="center"/>
          </w:tcPr>
          <w:p>
            <w:pPr>
              <w:pStyle w:val="15"/>
              <w:spacing w:before="2"/>
              <w:rPr>
                <w:rFonts w:ascii="Times New Roman" w:hAnsi="Times New Roman" w:cs="Times New Roman"/>
                <w:b/>
                <w:sz w:val="16"/>
              </w:rPr>
            </w:pPr>
          </w:p>
          <w:p>
            <w:pPr>
              <w:pStyle w:val="15"/>
              <w:ind w:left="237" w:right="227"/>
              <w:rPr>
                <w:rFonts w:ascii="Times New Roman" w:hAnsi="Times New Roman" w:cs="Times New Roman"/>
                <w:sz w:val="21"/>
              </w:rPr>
            </w:pPr>
            <w:r>
              <w:rPr>
                <w:rFonts w:ascii="Times New Roman" w:hAnsi="Times New Roman" w:cs="Times New Roman"/>
                <w:sz w:val="21"/>
              </w:rPr>
              <w:t>粪大肠菌群数</w:t>
            </w:r>
          </w:p>
        </w:tc>
        <w:tc>
          <w:tcPr>
            <w:tcW w:w="2033" w:type="dxa"/>
            <w:vAlign w:val="center"/>
          </w:tcPr>
          <w:p>
            <w:pPr>
              <w:pStyle w:val="15"/>
              <w:spacing w:before="53" w:line="252" w:lineRule="exact"/>
              <w:ind w:left="76" w:right="69"/>
              <w:jc w:val="center"/>
              <w:rPr>
                <w:rFonts w:ascii="Times New Roman" w:hAnsi="Times New Roman" w:cs="Times New Roman"/>
                <w:sz w:val="21"/>
              </w:rPr>
            </w:pPr>
            <w:r>
              <w:rPr>
                <w:rFonts w:hint="eastAsia" w:ascii="Times New Roman" w:hAnsi="Times New Roman" w:cs="Times New Roman"/>
                <w:sz w:val="21"/>
                <w:lang w:val="en-US" w:eastAsia="zh-CN"/>
              </w:rPr>
              <w:t>G（灭菌）</w:t>
            </w:r>
          </w:p>
        </w:tc>
        <w:tc>
          <w:tcPr>
            <w:tcW w:w="2083" w:type="dxa"/>
            <w:vAlign w:val="center"/>
          </w:tcPr>
          <w:p>
            <w:pPr>
              <w:pStyle w:val="15"/>
              <w:ind w:left="110" w:right="106"/>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单独采样，不能预洗，样品瓶灭菌1-5°C冷藏</w:t>
            </w:r>
          </w:p>
        </w:tc>
        <w:tc>
          <w:tcPr>
            <w:tcW w:w="1417" w:type="dxa"/>
            <w:vAlign w:val="center"/>
          </w:tcPr>
          <w:p>
            <w:pPr>
              <w:ind w:left="148" w:right="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尽快</w:t>
            </w:r>
          </w:p>
        </w:tc>
        <w:tc>
          <w:tcPr>
            <w:tcW w:w="1600" w:type="dxa"/>
            <w:vAlign w:val="center"/>
          </w:tcPr>
          <w:p>
            <w:pPr>
              <w:ind w:left="148" w:right="142"/>
              <w:rPr>
                <w:rFonts w:hint="eastAsia" w:ascii="Times New Roman" w:hAnsi="Times New Roman" w:eastAsia="宋体" w:cs="Times New Roman"/>
                <w:b w:val="0"/>
                <w:bCs/>
                <w:lang w:val="en-US" w:eastAsia="zh-CN"/>
              </w:rPr>
            </w:pPr>
            <w:r>
              <w:rPr>
                <w:rFonts w:hint="eastAsia" w:ascii="Times New Roman" w:hAnsi="Times New Roman" w:cs="Times New Roman"/>
                <w:b w:val="0"/>
                <w:bCs/>
                <w:lang w:val="en-US" w:eastAsia="zh-CN"/>
              </w:rPr>
              <w:t>/</w:t>
            </w:r>
          </w:p>
        </w:tc>
      </w:tr>
    </w:tbl>
    <w:p>
      <w:pPr>
        <w:pStyle w:val="2"/>
        <w:spacing w:before="156"/>
        <w:ind w:firstLine="480"/>
        <w:rPr>
          <w:rFonts w:ascii="Times New Roman" w:hAnsi="Times New Roman" w:cs="Times New Roman"/>
          <w:sz w:val="29"/>
          <w:szCs w:val="29"/>
          <w:lang w:val="en-US"/>
        </w:rPr>
      </w:pPr>
    </w:p>
    <w:p>
      <w:pPr>
        <w:pStyle w:val="3"/>
        <w:rPr>
          <w:rFonts w:ascii="Times New Roman" w:hAnsi="Times New Roman" w:cs="Times New Roman"/>
        </w:rPr>
      </w:pPr>
      <w:r>
        <w:rPr>
          <w:rFonts w:ascii="Times New Roman" w:hAnsi="Times New Roman" w:cs="Times New Roman"/>
        </w:rPr>
        <w:t>五、质量保证与质量控制措施</w:t>
      </w:r>
    </w:p>
    <w:p>
      <w:pPr>
        <w:pStyle w:val="2"/>
        <w:spacing w:before="156"/>
        <w:ind w:firstLine="480"/>
        <w:rPr>
          <w:rFonts w:ascii="Times New Roman" w:hAnsi="Times New Roman" w:cs="Times New Roman"/>
          <w:lang w:val="en-US"/>
        </w:rPr>
      </w:pPr>
      <w:r>
        <w:rPr>
          <w:rFonts w:ascii="Times New Roman" w:hAnsi="Times New Roman" w:cs="Times New Roman"/>
          <w:lang w:val="en-US"/>
        </w:rPr>
        <w:t>公司自行监测遵守国家环境监测技术规范和方法。国家环境检测技术规范和方法中未作规定的，采用国际标准和国外先进标准。尤其重视空白样、平行样、加标回收或质控样、仪器校准等方面质控工作。</w:t>
      </w:r>
    </w:p>
    <w:p>
      <w:pPr>
        <w:pStyle w:val="2"/>
        <w:ind w:firstLine="482"/>
        <w:rPr>
          <w:rFonts w:ascii="Times New Roman" w:hAnsi="Times New Roman" w:cs="Times New Roman"/>
          <w:b/>
          <w:bCs/>
        </w:rPr>
      </w:pPr>
      <w:r>
        <w:rPr>
          <w:rFonts w:ascii="Times New Roman" w:hAnsi="Times New Roman" w:cs="Times New Roman"/>
          <w:b/>
          <w:bCs/>
        </w:rPr>
        <w:t>1、人员持证上岗</w:t>
      </w:r>
    </w:p>
    <w:p>
      <w:pPr>
        <w:pStyle w:val="2"/>
        <w:spacing w:before="156"/>
        <w:ind w:firstLine="480"/>
        <w:rPr>
          <w:rFonts w:ascii="Times New Roman" w:hAnsi="Times New Roman" w:cs="Times New Roman"/>
          <w:lang w:val="en-US"/>
        </w:rPr>
      </w:pPr>
      <w:r>
        <w:rPr>
          <w:rFonts w:ascii="Times New Roman" w:hAnsi="Times New Roman" w:cs="Times New Roman"/>
          <w:lang w:val="en-US"/>
        </w:rPr>
        <w:t>检测人员需取得环境监测人员上岗合格证，确保合格证在有效期 范围内，保证监测人员具有相应的工作能力。</w:t>
      </w:r>
    </w:p>
    <w:p>
      <w:pPr>
        <w:pStyle w:val="2"/>
        <w:ind w:firstLine="482"/>
        <w:rPr>
          <w:rFonts w:ascii="Times New Roman" w:hAnsi="Times New Roman" w:cs="Times New Roman"/>
          <w:b/>
          <w:bCs/>
        </w:rPr>
      </w:pPr>
      <w:r>
        <w:rPr>
          <w:rFonts w:ascii="Times New Roman" w:hAnsi="Times New Roman" w:cs="Times New Roman"/>
          <w:b/>
          <w:bCs/>
        </w:rPr>
        <w:t>2、废水、废气自动监控系统(CEMS)</w:t>
      </w:r>
    </w:p>
    <w:p>
      <w:pPr>
        <w:pStyle w:val="2"/>
        <w:spacing w:before="156"/>
        <w:ind w:firstLine="480"/>
        <w:rPr>
          <w:rFonts w:ascii="Times New Roman" w:hAnsi="Times New Roman" w:cs="Times New Roman"/>
          <w:lang w:val="en-US"/>
        </w:rPr>
      </w:pPr>
      <w:r>
        <w:rPr>
          <w:rFonts w:ascii="Times New Roman" w:hAnsi="Times New Roman" w:cs="Times New Roman"/>
          <w:lang w:val="en-US"/>
        </w:rPr>
        <w:t>本院废水的流量、PH、COD、总余氯为自动监测，与南京市生态环境网站联网，实时监测数据，其在线监测系统所委托的第三方运维单位南京优格环保科技有限公司，具有环保污染治理设施运营资质证书。所有运维人员持证上岗，保证废水自动监控系统的正常运行。</w:t>
      </w:r>
    </w:p>
    <w:p>
      <w:pPr>
        <w:pStyle w:val="2"/>
        <w:ind w:firstLine="482"/>
        <w:rPr>
          <w:rFonts w:ascii="Times New Roman" w:hAnsi="Times New Roman" w:cs="Times New Roman"/>
          <w:b/>
          <w:bCs/>
        </w:rPr>
      </w:pPr>
      <w:r>
        <w:rPr>
          <w:rFonts w:ascii="Times New Roman" w:hAnsi="Times New Roman" w:cs="Times New Roman"/>
          <w:b/>
          <w:bCs/>
        </w:rPr>
        <w:t>3、实验室能力</w:t>
      </w:r>
    </w:p>
    <w:p>
      <w:pPr>
        <w:pStyle w:val="2"/>
        <w:spacing w:before="156"/>
        <w:ind w:firstLine="480"/>
        <w:rPr>
          <w:rFonts w:ascii="Times New Roman" w:hAnsi="Times New Roman" w:cs="Times New Roman"/>
          <w:lang w:val="en-US"/>
        </w:rPr>
      </w:pPr>
      <w:r>
        <w:rPr>
          <w:rFonts w:ascii="Times New Roman" w:hAnsi="Times New Roman" w:cs="Times New Roman"/>
          <w:lang w:val="en-US"/>
        </w:rPr>
        <w:t>医院委派具有CMA资质认证的第三方检测单位开展手工监测，能够做到及时检测并按照国标检测方法制备相应的空白样、平行样及加标回收或质控样、实验绘制相应的标准曲线，实验过程中保存原始检测记录台账，保证实验数据的真实性和准确性。</w:t>
      </w:r>
    </w:p>
    <w:p>
      <w:pPr>
        <w:pStyle w:val="2"/>
        <w:ind w:firstLine="482"/>
        <w:rPr>
          <w:rFonts w:ascii="Times New Roman" w:hAnsi="Times New Roman" w:cs="Times New Roman"/>
          <w:b/>
          <w:bCs/>
        </w:rPr>
      </w:pPr>
      <w:r>
        <w:rPr>
          <w:rFonts w:ascii="Times New Roman" w:hAnsi="Times New Roman" w:cs="Times New Roman"/>
          <w:b/>
          <w:bCs/>
        </w:rPr>
        <w:t>4、仪器要求</w:t>
      </w:r>
    </w:p>
    <w:p>
      <w:pPr>
        <w:pStyle w:val="2"/>
        <w:spacing w:before="156"/>
        <w:ind w:firstLine="480"/>
        <w:rPr>
          <w:rFonts w:ascii="Times New Roman" w:hAnsi="Times New Roman" w:cs="Times New Roman"/>
          <w:lang w:val="en-US"/>
        </w:rPr>
      </w:pPr>
      <w:r>
        <w:rPr>
          <w:rFonts w:ascii="Times New Roman" w:hAnsi="Times New Roman" w:cs="Times New Roman"/>
          <w:lang w:val="en-US"/>
        </w:rPr>
        <w:t>第三方检测单位和第三方运维单位，均是具有相应资质的，能够做到对所有检测仪器定期校准核验，定期检查仪器存放环境的湿度及温度，确保实验的精密度和准确度。所有监测仪器、量具均经过质检部门检定合格并在有效期内使用。</w:t>
      </w:r>
    </w:p>
    <w:p>
      <w:pPr>
        <w:pStyle w:val="2"/>
        <w:ind w:firstLine="482"/>
        <w:rPr>
          <w:rFonts w:ascii="Times New Roman" w:hAnsi="Times New Roman" w:cs="Times New Roman"/>
          <w:b/>
          <w:bCs/>
        </w:rPr>
      </w:pPr>
      <w:r>
        <w:rPr>
          <w:rFonts w:ascii="Times New Roman" w:hAnsi="Times New Roman" w:cs="Times New Roman"/>
          <w:b/>
          <w:bCs/>
        </w:rPr>
        <w:t>5、监测规范性</w:t>
      </w:r>
    </w:p>
    <w:p>
      <w:pPr>
        <w:pStyle w:val="2"/>
        <w:spacing w:before="156"/>
        <w:ind w:firstLine="480"/>
        <w:rPr>
          <w:rFonts w:ascii="Times New Roman" w:hAnsi="Times New Roman" w:cs="Times New Roman"/>
          <w:lang w:val="en-US"/>
        </w:rPr>
      </w:pPr>
      <w:r>
        <w:rPr>
          <w:rFonts w:ascii="Times New Roman" w:hAnsi="Times New Roman" w:cs="Times New Roman"/>
          <w:lang w:val="en-US"/>
        </w:rPr>
        <w:t>第三方检测单位和第三方运维单位，均是具有相应资质的，能够按照国标法中规定的监测要求进行监测。实验室检测做好全过程质控，包括使用标准物质、采用空白试验、平行样测定、加标回收率测定等措施，并定期进行质控数据分析。</w:t>
      </w:r>
    </w:p>
    <w:p>
      <w:pPr>
        <w:pStyle w:val="2"/>
        <w:ind w:firstLine="482"/>
        <w:rPr>
          <w:rFonts w:ascii="Times New Roman" w:hAnsi="Times New Roman" w:cs="Times New Roman"/>
          <w:b/>
          <w:bCs/>
        </w:rPr>
      </w:pPr>
      <w:r>
        <w:rPr>
          <w:rFonts w:ascii="Times New Roman" w:hAnsi="Times New Roman" w:cs="Times New Roman"/>
          <w:b/>
          <w:bCs/>
        </w:rPr>
        <w:t>6、记录要求</w:t>
      </w:r>
    </w:p>
    <w:p>
      <w:pPr>
        <w:pStyle w:val="2"/>
        <w:spacing w:before="156"/>
        <w:ind w:firstLine="480"/>
        <w:rPr>
          <w:rFonts w:ascii="Times New Roman" w:hAnsi="Times New Roman" w:cs="Times New Roman"/>
          <w:lang w:val="en-US"/>
        </w:rPr>
      </w:pPr>
      <w:r>
        <w:rPr>
          <w:rFonts w:ascii="Times New Roman" w:hAnsi="Times New Roman" w:cs="Times New Roman"/>
          <w:lang w:val="en-US"/>
        </w:rPr>
        <w:t>自动监测设备应保存仪器校验记录。校验记录必须根据南京市环保局在线监测科要求，按照规范进行，记录内容需完整准确，各类原始记录内容应完整,不得随意涂改,并有相关人员签字。</w:t>
      </w:r>
    </w:p>
    <w:p>
      <w:pPr>
        <w:pStyle w:val="2"/>
        <w:ind w:firstLine="482"/>
        <w:rPr>
          <w:rFonts w:ascii="Times New Roman" w:hAnsi="Times New Roman" w:cs="Times New Roman"/>
          <w:b/>
          <w:bCs/>
        </w:rPr>
      </w:pPr>
      <w:bookmarkStart w:id="5" w:name="bookmark37"/>
      <w:r>
        <w:rPr>
          <w:rFonts w:ascii="Times New Roman" w:hAnsi="Times New Roman" w:cs="Times New Roman"/>
          <w:b/>
          <w:bCs/>
        </w:rPr>
        <w:t>7</w:t>
      </w:r>
      <w:bookmarkEnd w:id="5"/>
      <w:r>
        <w:rPr>
          <w:rFonts w:ascii="Times New Roman" w:hAnsi="Times New Roman" w:cs="Times New Roman"/>
          <w:b/>
          <w:bCs/>
        </w:rPr>
        <w:t>、质量控制措施</w:t>
      </w:r>
    </w:p>
    <w:p>
      <w:pPr>
        <w:pStyle w:val="22"/>
        <w:keepNext w:val="0"/>
        <w:keepLines w:val="0"/>
        <w:widowControl w:val="0"/>
        <w:shd w:val="clear" w:color="auto" w:fill="auto"/>
        <w:bidi w:val="0"/>
        <w:spacing w:before="0" w:after="240" w:line="240" w:lineRule="auto"/>
        <w:ind w:left="0" w:right="0" w:firstLine="140"/>
        <w:jc w:val="left"/>
        <w:rPr>
          <w:rFonts w:ascii="Times New Roman" w:hAnsi="Times New Roman" w:eastAsia="宋体" w:cs="Times New Roman"/>
          <w:sz w:val="24"/>
          <w:szCs w:val="24"/>
          <w:u w:val="none"/>
          <w:shd w:val="clear"/>
          <w:lang w:val="en-US" w:eastAsia="zh-CN" w:bidi="zh-CN"/>
        </w:rPr>
      </w:pPr>
      <w:r>
        <w:rPr>
          <w:rFonts w:ascii="Times New Roman" w:hAnsi="Times New Roman" w:eastAsia="宋体" w:cs="Times New Roman"/>
          <w:sz w:val="24"/>
          <w:szCs w:val="24"/>
          <w:u w:val="none"/>
          <w:shd w:val="clear"/>
          <w:lang w:val="en-US" w:eastAsia="zh-CN" w:bidi="zh-CN"/>
        </w:rPr>
        <w:t>(1)无组织废气质控措施</w:t>
      </w:r>
    </w:p>
    <w:p>
      <w:pPr>
        <w:pStyle w:val="22"/>
        <w:keepNext w:val="0"/>
        <w:keepLines w:val="0"/>
        <w:widowControl w:val="0"/>
        <w:shd w:val="clear" w:color="auto" w:fill="auto"/>
        <w:tabs>
          <w:tab w:val="left" w:pos="982"/>
        </w:tabs>
        <w:bidi w:val="0"/>
        <w:spacing w:before="0" w:after="0" w:line="576" w:lineRule="exact"/>
        <w:ind w:left="0" w:right="0" w:firstLine="600"/>
        <w:jc w:val="both"/>
        <w:rPr>
          <w:rFonts w:ascii="Times New Roman" w:hAnsi="Times New Roman" w:eastAsia="宋体" w:cs="Times New Roman"/>
          <w:sz w:val="24"/>
          <w:szCs w:val="24"/>
          <w:u w:val="none"/>
          <w:shd w:val="clear"/>
          <w:lang w:val="en-US" w:eastAsia="zh-CN" w:bidi="zh-CN"/>
        </w:rPr>
      </w:pPr>
      <w:bookmarkStart w:id="6" w:name="bookmark38"/>
      <w:r>
        <w:rPr>
          <w:rFonts w:ascii="Times New Roman" w:hAnsi="Times New Roman" w:eastAsia="宋体" w:cs="Times New Roman"/>
          <w:sz w:val="24"/>
          <w:szCs w:val="24"/>
          <w:u w:val="none"/>
          <w:shd w:val="clear"/>
          <w:lang w:val="en-US" w:eastAsia="en-US" w:bidi="zh-CN"/>
        </w:rPr>
        <w:t>A</w:t>
      </w:r>
      <w:bookmarkEnd w:id="6"/>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仪器的检定和校准:属于国家强制检定目录内的工作计量器具, 必须按期送计量部门检定，检定合格，取得检定证书后方可用于监测 工作。</w:t>
      </w:r>
    </w:p>
    <w:p>
      <w:pPr>
        <w:pStyle w:val="22"/>
        <w:keepNext w:val="0"/>
        <w:keepLines w:val="0"/>
        <w:widowControl w:val="0"/>
        <w:shd w:val="clear" w:color="auto" w:fill="auto"/>
        <w:tabs>
          <w:tab w:val="left" w:pos="987"/>
        </w:tabs>
        <w:bidi w:val="0"/>
        <w:spacing w:before="0" w:after="0" w:line="576" w:lineRule="exact"/>
        <w:ind w:left="0" w:right="0" w:firstLine="600"/>
        <w:jc w:val="both"/>
        <w:rPr>
          <w:rFonts w:ascii="Times New Roman" w:hAnsi="Times New Roman" w:eastAsia="宋体" w:cs="Times New Roman"/>
          <w:sz w:val="24"/>
          <w:szCs w:val="24"/>
          <w:u w:val="none"/>
          <w:shd w:val="clear"/>
          <w:lang w:val="en-US" w:eastAsia="zh-CN" w:bidi="zh-CN"/>
        </w:rPr>
      </w:pPr>
      <w:bookmarkStart w:id="7" w:name="bookmark39"/>
      <w:r>
        <w:rPr>
          <w:rFonts w:ascii="Times New Roman" w:hAnsi="Times New Roman" w:eastAsia="宋体" w:cs="Times New Roman"/>
          <w:sz w:val="24"/>
          <w:szCs w:val="24"/>
          <w:u w:val="none"/>
          <w:shd w:val="clear"/>
          <w:lang w:val="en-US" w:eastAsia="en-US" w:bidi="zh-CN"/>
        </w:rPr>
        <w:t>B</w:t>
      </w:r>
      <w:bookmarkEnd w:id="7"/>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排气温度测量仪表、斜管微压计、空盒大气压力计、真空压力 表（压力计）、转子流量计都必须进行校准</w:t>
      </w:r>
    </w:p>
    <w:p>
      <w:pPr>
        <w:pStyle w:val="22"/>
        <w:keepNext w:val="0"/>
        <w:keepLines w:val="0"/>
        <w:widowControl w:val="0"/>
        <w:shd w:val="clear" w:color="auto" w:fill="auto"/>
        <w:tabs>
          <w:tab w:val="left" w:pos="1001"/>
        </w:tabs>
        <w:bidi w:val="0"/>
        <w:spacing w:before="0" w:after="0" w:line="576" w:lineRule="exact"/>
        <w:ind w:left="0" w:right="0" w:firstLine="600"/>
        <w:jc w:val="both"/>
        <w:rPr>
          <w:rFonts w:ascii="Times New Roman" w:hAnsi="Times New Roman" w:eastAsia="宋体" w:cs="Times New Roman"/>
          <w:sz w:val="24"/>
          <w:szCs w:val="24"/>
          <w:u w:val="none"/>
          <w:shd w:val="clear"/>
          <w:lang w:val="en-US" w:eastAsia="zh-CN" w:bidi="zh-CN"/>
        </w:rPr>
      </w:pPr>
      <w:bookmarkStart w:id="8" w:name="bookmark40"/>
      <w:r>
        <w:rPr>
          <w:rFonts w:ascii="Times New Roman" w:hAnsi="Times New Roman" w:eastAsia="宋体" w:cs="Times New Roman"/>
          <w:sz w:val="24"/>
          <w:szCs w:val="24"/>
          <w:u w:val="none"/>
          <w:shd w:val="clear"/>
          <w:lang w:val="en-US" w:eastAsia="en-US" w:bidi="zh-CN"/>
        </w:rPr>
        <w:t>C</w:t>
      </w:r>
      <w:bookmarkEnd w:id="8"/>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无组织废气监测期间的主导风向（平均风向）便利于监控点的 设置，并可使监控点和被测无组织排放源之间的距离尽可能缩小。监 测期间的风向变化、平均风速和大气稳定度三项指标对污染物的稀释 和扩散影响很大。</w:t>
      </w:r>
    </w:p>
    <w:p>
      <w:pPr>
        <w:pStyle w:val="22"/>
        <w:keepNext w:val="0"/>
        <w:keepLines w:val="0"/>
        <w:widowControl w:val="0"/>
        <w:shd w:val="clear" w:color="auto" w:fill="auto"/>
        <w:bidi w:val="0"/>
        <w:spacing w:before="0" w:after="0" w:line="576" w:lineRule="exact"/>
        <w:ind w:left="0" w:right="0" w:firstLine="200"/>
        <w:jc w:val="both"/>
        <w:rPr>
          <w:rFonts w:ascii="Times New Roman" w:hAnsi="Times New Roman" w:eastAsia="宋体" w:cs="Times New Roman"/>
          <w:sz w:val="24"/>
          <w:szCs w:val="24"/>
          <w:u w:val="none"/>
          <w:shd w:val="clear"/>
          <w:lang w:val="en-US" w:eastAsia="zh-CN" w:bidi="zh-CN"/>
        </w:rPr>
      </w:pPr>
      <w:r>
        <w:rPr>
          <w:rFonts w:ascii="Times New Roman" w:hAnsi="Times New Roman" w:eastAsia="宋体" w:cs="Times New Roman"/>
          <w:sz w:val="24"/>
          <w:szCs w:val="24"/>
          <w:u w:val="none"/>
          <w:shd w:val="clear"/>
          <w:lang w:val="en-US" w:eastAsia="zh-CN" w:bidi="zh-CN"/>
        </w:rPr>
        <w:t>（2）废水质控措施</w:t>
      </w:r>
    </w:p>
    <w:p>
      <w:pPr>
        <w:pStyle w:val="22"/>
        <w:keepNext w:val="0"/>
        <w:keepLines w:val="0"/>
        <w:widowControl w:val="0"/>
        <w:shd w:val="clear" w:color="auto" w:fill="auto"/>
        <w:tabs>
          <w:tab w:val="left" w:pos="973"/>
        </w:tabs>
        <w:bidi w:val="0"/>
        <w:spacing w:before="0" w:after="0" w:line="576" w:lineRule="exact"/>
        <w:ind w:left="0" w:right="0" w:firstLine="600"/>
        <w:jc w:val="both"/>
        <w:rPr>
          <w:rFonts w:ascii="Times New Roman" w:hAnsi="Times New Roman" w:eastAsia="宋体" w:cs="Times New Roman"/>
          <w:sz w:val="24"/>
          <w:szCs w:val="24"/>
          <w:u w:val="none"/>
          <w:shd w:val="clear"/>
          <w:lang w:val="en-US" w:eastAsia="zh-CN" w:bidi="zh-CN"/>
        </w:rPr>
      </w:pPr>
      <w:bookmarkStart w:id="9" w:name="bookmark41"/>
      <w:r>
        <w:rPr>
          <w:rFonts w:ascii="Times New Roman" w:hAnsi="Times New Roman" w:eastAsia="宋体" w:cs="Times New Roman"/>
          <w:sz w:val="24"/>
          <w:szCs w:val="24"/>
          <w:u w:val="none"/>
          <w:shd w:val="clear"/>
          <w:lang w:val="en-US" w:eastAsia="en-US" w:bidi="zh-CN"/>
        </w:rPr>
        <w:t>A</w:t>
      </w:r>
      <w:bookmarkEnd w:id="9"/>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采样人员必须通过岗前培训，切实掌握采样技术，熟知水样固 定、保存、运输条件。</w:t>
      </w:r>
    </w:p>
    <w:p>
      <w:pPr>
        <w:pStyle w:val="22"/>
        <w:keepNext w:val="0"/>
        <w:keepLines w:val="0"/>
        <w:widowControl w:val="0"/>
        <w:shd w:val="clear" w:color="auto" w:fill="auto"/>
        <w:tabs>
          <w:tab w:val="left" w:pos="1001"/>
        </w:tabs>
        <w:bidi w:val="0"/>
        <w:spacing w:before="0" w:after="0" w:line="576" w:lineRule="exact"/>
        <w:ind w:left="0" w:right="0" w:firstLine="600"/>
        <w:jc w:val="both"/>
        <w:rPr>
          <w:rFonts w:ascii="Times New Roman" w:hAnsi="Times New Roman" w:eastAsia="宋体" w:cs="Times New Roman"/>
          <w:sz w:val="24"/>
          <w:szCs w:val="24"/>
          <w:u w:val="none"/>
          <w:shd w:val="clear"/>
          <w:lang w:val="en-US" w:eastAsia="zh-CN" w:bidi="zh-CN"/>
        </w:rPr>
      </w:pPr>
      <w:bookmarkStart w:id="10" w:name="bookmark42"/>
      <w:r>
        <w:rPr>
          <w:rFonts w:ascii="Times New Roman" w:hAnsi="Times New Roman" w:eastAsia="宋体" w:cs="Times New Roman"/>
          <w:sz w:val="24"/>
          <w:szCs w:val="24"/>
          <w:u w:val="none"/>
          <w:shd w:val="clear"/>
          <w:lang w:val="en-US" w:eastAsia="en-US" w:bidi="zh-CN"/>
        </w:rPr>
        <w:t>B</w:t>
      </w:r>
      <w:bookmarkEnd w:id="10"/>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采样时，除细菌总数、大肠菌群、油类、</w:t>
      </w:r>
      <w:r>
        <w:rPr>
          <w:rFonts w:ascii="Times New Roman" w:hAnsi="Times New Roman" w:eastAsia="宋体" w:cs="Times New Roman"/>
          <w:sz w:val="24"/>
          <w:szCs w:val="24"/>
          <w:u w:val="none"/>
          <w:shd w:val="clear"/>
          <w:lang w:val="en-US" w:eastAsia="en-US" w:bidi="zh-CN"/>
        </w:rPr>
        <w:t>DO、BOD5、</w:t>
      </w:r>
      <w:r>
        <w:rPr>
          <w:rFonts w:ascii="Times New Roman" w:hAnsi="Times New Roman" w:eastAsia="宋体" w:cs="Times New Roman"/>
          <w:sz w:val="24"/>
          <w:szCs w:val="24"/>
          <w:u w:val="none"/>
          <w:shd w:val="clear"/>
          <w:lang w:val="en-US" w:eastAsia="zh-CN" w:bidi="zh-CN"/>
        </w:rPr>
        <w:t>有机物、 余氯等有特殊要求的项目外，要先用釆样水荡洗采样器与水样容器 2〜3次，然后再将水样采入容器中，并按要求立即加入相应的固定剂， 贴好标签。应使用正规的不干胶标签。每批水样，应选择部分项目加 采现场空白样，与样品一起送实验室分析。</w:t>
      </w:r>
    </w:p>
    <w:p>
      <w:pPr>
        <w:pStyle w:val="22"/>
        <w:keepNext w:val="0"/>
        <w:keepLines w:val="0"/>
        <w:widowControl w:val="0"/>
        <w:shd w:val="clear" w:color="auto" w:fill="auto"/>
        <w:tabs>
          <w:tab w:val="left" w:pos="997"/>
        </w:tabs>
        <w:bidi w:val="0"/>
        <w:spacing w:before="0" w:after="0" w:line="576" w:lineRule="exact"/>
        <w:ind w:left="0" w:right="0" w:firstLine="600"/>
        <w:jc w:val="both"/>
        <w:rPr>
          <w:rFonts w:ascii="Times New Roman" w:hAnsi="Times New Roman" w:eastAsia="宋体" w:cs="Times New Roman"/>
          <w:sz w:val="24"/>
          <w:szCs w:val="24"/>
          <w:u w:val="none"/>
          <w:shd w:val="clear"/>
          <w:lang w:val="en-US" w:eastAsia="zh-CN" w:bidi="zh-CN"/>
        </w:rPr>
      </w:pPr>
      <w:bookmarkStart w:id="11" w:name="bookmark43"/>
      <w:r>
        <w:rPr>
          <w:rFonts w:ascii="Times New Roman" w:hAnsi="Times New Roman" w:eastAsia="宋体" w:cs="Times New Roman"/>
          <w:sz w:val="24"/>
          <w:szCs w:val="24"/>
          <w:u w:val="none"/>
          <w:shd w:val="clear"/>
          <w:lang w:val="en-US" w:eastAsia="en-US" w:bidi="zh-CN"/>
        </w:rPr>
        <w:t>C</w:t>
      </w:r>
      <w:bookmarkEnd w:id="11"/>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每次分析结束后，除必要的留存样品外，样品瓶应及时清洗。 水环境例行监测水样容器和污染源监测水样容器应分架存放，不得混 用。各类釆样容器应按测定项目与采样点位，分类编号，固定专用。</w:t>
      </w:r>
    </w:p>
    <w:p>
      <w:pPr>
        <w:pStyle w:val="22"/>
        <w:keepNext w:val="0"/>
        <w:keepLines w:val="0"/>
        <w:widowControl w:val="0"/>
        <w:shd w:val="clear" w:color="auto" w:fill="auto"/>
        <w:tabs>
          <w:tab w:val="left" w:pos="987"/>
        </w:tabs>
        <w:bidi w:val="0"/>
        <w:spacing w:before="0" w:after="0" w:line="576" w:lineRule="exact"/>
        <w:ind w:left="0" w:right="0" w:firstLine="600"/>
        <w:jc w:val="both"/>
        <w:rPr>
          <w:rFonts w:ascii="Times New Roman" w:hAnsi="Times New Roman" w:eastAsia="宋体" w:cs="Times New Roman"/>
          <w:sz w:val="24"/>
          <w:szCs w:val="24"/>
          <w:u w:val="none"/>
          <w:shd w:val="clear"/>
          <w:lang w:val="en-US" w:eastAsia="zh-CN" w:bidi="zh-CN"/>
        </w:rPr>
      </w:pPr>
      <w:bookmarkStart w:id="12" w:name="bookmark44"/>
      <w:r>
        <w:rPr>
          <w:rFonts w:ascii="Times New Roman" w:hAnsi="Times New Roman" w:eastAsia="宋体" w:cs="Times New Roman"/>
          <w:sz w:val="24"/>
          <w:szCs w:val="24"/>
          <w:u w:val="none"/>
          <w:shd w:val="clear"/>
          <w:lang w:val="en-US" w:eastAsia="en-US" w:bidi="zh-CN"/>
        </w:rPr>
        <w:t>D</w:t>
      </w:r>
      <w:bookmarkEnd w:id="12"/>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认真填写</w:t>
      </w:r>
      <w:r>
        <w:rPr>
          <w:rFonts w:ascii="Times New Roman" w:hAnsi="Times New Roman" w:eastAsia="宋体" w:cs="Times New Roman"/>
          <w:sz w:val="24"/>
          <w:szCs w:val="24"/>
          <w:u w:val="none"/>
          <w:shd w:val="clear"/>
          <w:lang w:val="zh-CN" w:eastAsia="zh-CN" w:bidi="zh-CN"/>
        </w:rPr>
        <w:t>“水质</w:t>
      </w:r>
      <w:r>
        <w:rPr>
          <w:rFonts w:ascii="Times New Roman" w:hAnsi="Times New Roman" w:eastAsia="宋体" w:cs="Times New Roman"/>
          <w:sz w:val="24"/>
          <w:szCs w:val="24"/>
          <w:u w:val="none"/>
          <w:shd w:val="clear"/>
          <w:lang w:val="en-US" w:eastAsia="zh-CN" w:bidi="zh-CN"/>
        </w:rPr>
        <w:t>釆样记录表”，用签字笔或硬质铅笔在现场记 录，字迹应端正、清晰，项目完整。保证釆样按时、准确、安全。</w:t>
      </w:r>
    </w:p>
    <w:p>
      <w:pPr>
        <w:pStyle w:val="22"/>
        <w:keepNext w:val="0"/>
        <w:keepLines w:val="0"/>
        <w:widowControl w:val="0"/>
        <w:shd w:val="clear" w:color="auto" w:fill="auto"/>
        <w:bidi w:val="0"/>
        <w:spacing w:before="0" w:after="0" w:line="575" w:lineRule="exact"/>
        <w:ind w:left="0" w:right="0" w:firstLine="0"/>
        <w:jc w:val="left"/>
        <w:rPr>
          <w:rFonts w:ascii="Times New Roman" w:hAnsi="Times New Roman" w:eastAsia="宋体" w:cs="Times New Roman"/>
          <w:sz w:val="24"/>
          <w:szCs w:val="24"/>
          <w:u w:val="none"/>
          <w:shd w:val="clear"/>
          <w:lang w:val="en-US" w:eastAsia="zh-CN" w:bidi="zh-CN"/>
        </w:rPr>
      </w:pPr>
      <w:bookmarkStart w:id="13" w:name="bookmark45"/>
      <w:r>
        <w:rPr>
          <w:rFonts w:ascii="Times New Roman" w:hAnsi="Times New Roman" w:eastAsia="宋体" w:cs="Times New Roman"/>
          <w:sz w:val="24"/>
          <w:szCs w:val="24"/>
          <w:u w:val="none"/>
          <w:shd w:val="clear"/>
          <w:lang w:val="en-US" w:eastAsia="en-US" w:bidi="zh-CN"/>
        </w:rPr>
        <w:t>E</w:t>
      </w:r>
      <w:bookmarkEnd w:id="13"/>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釆样结束前，应核对釆样计划、记录与水样，如有错误或遗漏， 应立即补釆或重采。如釆样现场水体很不均匀，无法釆到有代表性</w:t>
      </w:r>
      <w:r>
        <w:rPr>
          <w:rFonts w:hint="eastAsia" w:ascii="Times New Roman" w:hAnsi="Times New Roman" w:cs="Times New Roman"/>
          <w:sz w:val="24"/>
          <w:szCs w:val="24"/>
          <w:u w:val="none"/>
          <w:shd w:val="clear"/>
          <w:lang w:val="en-US" w:eastAsia="zh-CN" w:bidi="zh-CN"/>
        </w:rPr>
        <w:t>的</w:t>
      </w:r>
      <w:r>
        <w:rPr>
          <w:rFonts w:ascii="Times New Roman" w:hAnsi="Times New Roman" w:eastAsia="宋体" w:cs="Times New Roman"/>
          <w:sz w:val="24"/>
          <w:szCs w:val="24"/>
          <w:u w:val="none"/>
          <w:shd w:val="clear"/>
          <w:lang w:val="en-US" w:eastAsia="zh-CN" w:bidi="zh-CN"/>
        </w:rPr>
        <w:t>样品，则应详细记录不均匀的情况和实际釆样情况，供使用该数据者 参考。并将此现场情况向环境保护行政主管部门反映。</w:t>
      </w:r>
    </w:p>
    <w:p>
      <w:pPr>
        <w:pStyle w:val="22"/>
        <w:keepNext w:val="0"/>
        <w:keepLines w:val="0"/>
        <w:widowControl w:val="0"/>
        <w:shd w:val="clear" w:color="auto" w:fill="auto"/>
        <w:tabs>
          <w:tab w:val="left" w:pos="1002"/>
        </w:tabs>
        <w:bidi w:val="0"/>
        <w:spacing w:before="0" w:after="0" w:line="575" w:lineRule="exact"/>
        <w:ind w:left="0" w:right="0" w:firstLine="580"/>
        <w:jc w:val="both"/>
        <w:rPr>
          <w:rFonts w:ascii="Times New Roman" w:hAnsi="Times New Roman" w:eastAsia="宋体" w:cs="Times New Roman"/>
          <w:sz w:val="24"/>
          <w:szCs w:val="24"/>
          <w:u w:val="none"/>
          <w:shd w:val="clear"/>
          <w:lang w:val="en-US" w:eastAsia="zh-CN" w:bidi="zh-CN"/>
        </w:rPr>
      </w:pPr>
      <w:bookmarkStart w:id="14" w:name="bookmark46"/>
      <w:r>
        <w:rPr>
          <w:rFonts w:ascii="Times New Roman" w:hAnsi="Times New Roman" w:eastAsia="宋体" w:cs="Times New Roman"/>
          <w:sz w:val="24"/>
          <w:szCs w:val="24"/>
          <w:u w:val="none"/>
          <w:shd w:val="clear"/>
          <w:lang w:val="en-US" w:eastAsia="en-US" w:bidi="zh-CN"/>
        </w:rPr>
        <w:t>F</w:t>
      </w:r>
      <w:bookmarkEnd w:id="14"/>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测定油类的水样，应在水面至</w:t>
      </w:r>
      <w:r>
        <w:rPr>
          <w:rFonts w:ascii="Times New Roman" w:hAnsi="Times New Roman" w:eastAsia="宋体" w:cs="Times New Roman"/>
          <w:sz w:val="24"/>
          <w:szCs w:val="24"/>
          <w:u w:val="none"/>
          <w:shd w:val="clear"/>
          <w:lang w:val="en-US" w:eastAsia="en-US" w:bidi="zh-CN"/>
        </w:rPr>
        <w:t>300mm</w:t>
      </w:r>
      <w:r>
        <w:rPr>
          <w:rFonts w:ascii="Times New Roman" w:hAnsi="Times New Roman" w:eastAsia="宋体" w:cs="Times New Roman"/>
          <w:sz w:val="24"/>
          <w:szCs w:val="24"/>
          <w:u w:val="none"/>
          <w:shd w:val="clear"/>
          <w:lang w:val="en-US" w:eastAsia="zh-CN" w:bidi="zh-CN"/>
        </w:rPr>
        <w:t>釆集柱状水样，并单独采 样，全部用于测定。并且采样瓶（容器）不能用采集的水样冲洗。</w:t>
      </w:r>
    </w:p>
    <w:p>
      <w:pPr>
        <w:pStyle w:val="22"/>
        <w:keepNext w:val="0"/>
        <w:keepLines w:val="0"/>
        <w:widowControl w:val="0"/>
        <w:shd w:val="clear" w:color="auto" w:fill="auto"/>
        <w:tabs>
          <w:tab w:val="left" w:pos="997"/>
        </w:tabs>
        <w:bidi w:val="0"/>
        <w:spacing w:before="0" w:after="0" w:line="575" w:lineRule="exact"/>
        <w:ind w:left="0" w:right="0" w:firstLine="580"/>
        <w:jc w:val="both"/>
        <w:rPr>
          <w:rFonts w:ascii="Times New Roman" w:hAnsi="Times New Roman" w:eastAsia="宋体" w:cs="Times New Roman"/>
          <w:sz w:val="24"/>
          <w:szCs w:val="24"/>
          <w:u w:val="none"/>
          <w:shd w:val="clear"/>
          <w:lang w:val="en-US" w:eastAsia="zh-CN" w:bidi="zh-CN"/>
        </w:rPr>
      </w:pPr>
      <w:bookmarkStart w:id="15" w:name="bookmark47"/>
      <w:r>
        <w:rPr>
          <w:rFonts w:ascii="Times New Roman" w:hAnsi="Times New Roman" w:eastAsia="宋体" w:cs="Times New Roman"/>
          <w:sz w:val="24"/>
          <w:szCs w:val="24"/>
          <w:u w:val="none"/>
          <w:shd w:val="clear"/>
          <w:lang w:val="en-US" w:eastAsia="en-US" w:bidi="zh-CN"/>
        </w:rPr>
        <w:t>G</w:t>
      </w:r>
      <w:bookmarkEnd w:id="15"/>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测溶解氧、生化需氧量和有机污染物等项目时，水样必须注满 容器，上部不留空间，并有水封口。</w:t>
      </w:r>
    </w:p>
    <w:p>
      <w:pPr>
        <w:pStyle w:val="22"/>
        <w:keepNext w:val="0"/>
        <w:keepLines w:val="0"/>
        <w:widowControl w:val="0"/>
        <w:shd w:val="clear" w:color="auto" w:fill="auto"/>
        <w:tabs>
          <w:tab w:val="left" w:pos="1006"/>
        </w:tabs>
        <w:bidi w:val="0"/>
        <w:spacing w:before="0" w:after="0" w:line="575" w:lineRule="exact"/>
        <w:ind w:left="0" w:right="0" w:firstLine="580"/>
        <w:jc w:val="both"/>
        <w:rPr>
          <w:rFonts w:ascii="Times New Roman" w:hAnsi="Times New Roman" w:eastAsia="宋体" w:cs="Times New Roman"/>
          <w:sz w:val="24"/>
          <w:szCs w:val="24"/>
          <w:u w:val="none"/>
          <w:shd w:val="clear"/>
          <w:lang w:val="en-US" w:eastAsia="zh-CN" w:bidi="zh-CN"/>
        </w:rPr>
      </w:pPr>
      <w:bookmarkStart w:id="16" w:name="bookmark48"/>
      <w:r>
        <w:rPr>
          <w:rFonts w:ascii="Times New Roman" w:hAnsi="Times New Roman" w:eastAsia="宋体" w:cs="Times New Roman"/>
          <w:sz w:val="24"/>
          <w:szCs w:val="24"/>
          <w:u w:val="none"/>
          <w:shd w:val="clear"/>
          <w:lang w:val="en-US" w:eastAsia="en-US" w:bidi="zh-CN"/>
        </w:rPr>
        <w:t>F</w:t>
      </w:r>
      <w:bookmarkEnd w:id="16"/>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如果水样中含沉降性固体（如泥沙等），则应分离除去。分离方 法为：将所釆水样摇匀后倒入筒形玻璃容器（如1〜</w:t>
      </w:r>
      <w:r>
        <w:rPr>
          <w:rFonts w:ascii="Times New Roman" w:hAnsi="Times New Roman" w:eastAsia="宋体" w:cs="Times New Roman"/>
          <w:sz w:val="24"/>
          <w:szCs w:val="24"/>
          <w:u w:val="none"/>
          <w:shd w:val="clear"/>
          <w:lang w:val="en-US" w:eastAsia="en-US" w:bidi="zh-CN"/>
        </w:rPr>
        <w:t>2L</w:t>
      </w:r>
      <w:r>
        <w:rPr>
          <w:rFonts w:ascii="Times New Roman" w:hAnsi="Times New Roman" w:eastAsia="宋体" w:cs="Times New Roman"/>
          <w:sz w:val="24"/>
          <w:szCs w:val="24"/>
          <w:u w:val="none"/>
          <w:shd w:val="clear"/>
          <w:lang w:val="en-US" w:eastAsia="zh-CN" w:bidi="zh-CN"/>
        </w:rPr>
        <w:t xml:space="preserve">量筒），静置 </w:t>
      </w:r>
      <w:r>
        <w:rPr>
          <w:rFonts w:ascii="Times New Roman" w:hAnsi="Times New Roman" w:eastAsia="宋体" w:cs="Times New Roman"/>
          <w:sz w:val="24"/>
          <w:szCs w:val="24"/>
          <w:u w:val="none"/>
          <w:shd w:val="clear"/>
          <w:lang w:val="en-US" w:eastAsia="en-US" w:bidi="zh-CN"/>
        </w:rPr>
        <w:t>30mi n</w:t>
      </w:r>
      <w:r>
        <w:rPr>
          <w:rFonts w:ascii="Times New Roman" w:hAnsi="Times New Roman" w:eastAsia="宋体" w:cs="Times New Roman"/>
          <w:sz w:val="24"/>
          <w:szCs w:val="24"/>
          <w:u w:val="none"/>
          <w:shd w:val="clear"/>
          <w:lang w:val="en-US" w:eastAsia="zh-CN" w:bidi="zh-CN"/>
        </w:rPr>
        <w:t>,将不含沉降性固体但含有悬浮性固体的水样移入盛样容器并加 入保存剂。测定水温、</w:t>
      </w:r>
      <w:r>
        <w:rPr>
          <w:rFonts w:ascii="Times New Roman" w:hAnsi="Times New Roman" w:eastAsia="宋体" w:cs="Times New Roman"/>
          <w:sz w:val="24"/>
          <w:szCs w:val="24"/>
          <w:u w:val="none"/>
          <w:shd w:val="clear"/>
          <w:lang w:val="en-US" w:eastAsia="en-US" w:bidi="zh-CN"/>
        </w:rPr>
        <w:t>pH、DO、</w:t>
      </w:r>
      <w:r>
        <w:rPr>
          <w:rFonts w:ascii="Times New Roman" w:hAnsi="Times New Roman" w:eastAsia="宋体" w:cs="Times New Roman"/>
          <w:sz w:val="24"/>
          <w:szCs w:val="24"/>
          <w:u w:val="none"/>
          <w:shd w:val="clear"/>
          <w:lang w:val="en-US" w:eastAsia="zh-CN" w:bidi="zh-CN"/>
        </w:rPr>
        <w:t>电导率、总悬浮物和油类的水样除外。</w:t>
      </w:r>
    </w:p>
    <w:p>
      <w:pPr>
        <w:pStyle w:val="22"/>
        <w:keepNext w:val="0"/>
        <w:keepLines w:val="0"/>
        <w:widowControl w:val="0"/>
        <w:shd w:val="clear" w:color="auto" w:fill="auto"/>
        <w:tabs>
          <w:tab w:val="left" w:pos="997"/>
        </w:tabs>
        <w:bidi w:val="0"/>
        <w:spacing w:before="0" w:after="0" w:line="575" w:lineRule="exact"/>
        <w:ind w:left="0" w:right="0" w:firstLine="580"/>
        <w:jc w:val="both"/>
        <w:rPr>
          <w:rFonts w:ascii="Times New Roman" w:hAnsi="Times New Roman" w:eastAsia="宋体" w:cs="Times New Roman"/>
          <w:sz w:val="24"/>
          <w:szCs w:val="24"/>
          <w:u w:val="none"/>
          <w:shd w:val="clear"/>
          <w:lang w:val="en-US" w:eastAsia="zh-CN" w:bidi="zh-CN"/>
        </w:rPr>
      </w:pPr>
      <w:bookmarkStart w:id="17" w:name="bookmark49"/>
      <w:r>
        <w:rPr>
          <w:rFonts w:ascii="Times New Roman" w:hAnsi="Times New Roman" w:eastAsia="宋体" w:cs="Times New Roman"/>
          <w:sz w:val="24"/>
          <w:szCs w:val="24"/>
          <w:u w:val="none"/>
          <w:shd w:val="clear"/>
          <w:lang w:val="en-US" w:eastAsia="en-US" w:bidi="zh-CN"/>
        </w:rPr>
        <w:t>G</w:t>
      </w:r>
      <w:bookmarkEnd w:id="17"/>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测定油类、</w:t>
      </w:r>
      <w:r>
        <w:rPr>
          <w:rFonts w:ascii="Times New Roman" w:hAnsi="Times New Roman" w:eastAsia="宋体" w:cs="Times New Roman"/>
          <w:sz w:val="24"/>
          <w:szCs w:val="24"/>
          <w:u w:val="none"/>
          <w:shd w:val="clear"/>
          <w:lang w:val="en-US" w:eastAsia="en-US" w:bidi="zh-CN"/>
        </w:rPr>
        <w:t>B0D5、D0、</w:t>
      </w:r>
      <w:r>
        <w:rPr>
          <w:rFonts w:ascii="Times New Roman" w:hAnsi="Times New Roman" w:eastAsia="宋体" w:cs="Times New Roman"/>
          <w:sz w:val="24"/>
          <w:szCs w:val="24"/>
          <w:u w:val="none"/>
          <w:shd w:val="clear"/>
          <w:lang w:val="en-US" w:eastAsia="zh-CN" w:bidi="zh-CN"/>
        </w:rPr>
        <w:t>硫化物、余氯、粪大肠菌群、悬浮物、 放射性等项目要单独采样。</w:t>
      </w:r>
    </w:p>
    <w:p>
      <w:pPr>
        <w:pStyle w:val="22"/>
        <w:keepNext w:val="0"/>
        <w:keepLines w:val="0"/>
        <w:widowControl w:val="0"/>
        <w:shd w:val="clear" w:color="auto" w:fill="auto"/>
        <w:tabs>
          <w:tab w:val="left" w:pos="997"/>
        </w:tabs>
        <w:bidi w:val="0"/>
        <w:spacing w:before="0" w:after="0" w:line="575" w:lineRule="exact"/>
        <w:ind w:left="0" w:right="0" w:firstLine="580"/>
        <w:jc w:val="both"/>
        <w:rPr>
          <w:rFonts w:ascii="Times New Roman" w:hAnsi="Times New Roman" w:eastAsia="宋体" w:cs="Times New Roman"/>
          <w:sz w:val="24"/>
          <w:szCs w:val="24"/>
          <w:u w:val="none"/>
          <w:shd w:val="clear"/>
          <w:lang w:val="en-US" w:eastAsia="zh-CN" w:bidi="zh-CN"/>
        </w:rPr>
      </w:pPr>
      <w:bookmarkStart w:id="18" w:name="bookmark50"/>
      <w:r>
        <w:rPr>
          <w:rFonts w:ascii="Times New Roman" w:hAnsi="Times New Roman" w:eastAsia="宋体" w:cs="Times New Roman"/>
          <w:sz w:val="24"/>
          <w:szCs w:val="24"/>
          <w:u w:val="none"/>
          <w:shd w:val="clear"/>
          <w:lang w:val="en-US" w:eastAsia="en-US" w:bidi="zh-CN"/>
        </w:rPr>
        <w:t>H</w:t>
      </w:r>
      <w:bookmarkEnd w:id="18"/>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全程序空白：除悬浮物等样品外，均釆集全程序空白样品，将 经过检验的纯水带至现场，代替样品釆入样品瓶中，按规定加入固定 剂，作为全程序空白样品。</w:t>
      </w:r>
    </w:p>
    <w:p>
      <w:pPr>
        <w:pStyle w:val="22"/>
        <w:keepNext w:val="0"/>
        <w:keepLines w:val="0"/>
        <w:widowControl w:val="0"/>
        <w:shd w:val="clear" w:color="auto" w:fill="auto"/>
        <w:tabs>
          <w:tab w:val="left" w:pos="1026"/>
        </w:tabs>
        <w:bidi w:val="0"/>
        <w:spacing w:before="0" w:after="0" w:line="575" w:lineRule="exact"/>
        <w:ind w:left="0" w:right="0" w:firstLine="580"/>
        <w:jc w:val="both"/>
        <w:rPr>
          <w:rFonts w:ascii="Times New Roman" w:hAnsi="Times New Roman" w:eastAsia="宋体" w:cs="Times New Roman"/>
          <w:sz w:val="24"/>
          <w:szCs w:val="24"/>
          <w:u w:val="none"/>
          <w:shd w:val="clear"/>
          <w:lang w:val="en-US" w:eastAsia="zh-CN" w:bidi="zh-CN"/>
        </w:rPr>
      </w:pPr>
      <w:bookmarkStart w:id="19" w:name="bookmark51"/>
      <w:r>
        <w:rPr>
          <w:rFonts w:ascii="Times New Roman" w:hAnsi="Times New Roman" w:eastAsia="宋体" w:cs="Times New Roman"/>
          <w:sz w:val="24"/>
          <w:szCs w:val="24"/>
          <w:u w:val="none"/>
          <w:shd w:val="clear"/>
          <w:lang w:val="en-US" w:eastAsia="zh-CN" w:bidi="zh-CN"/>
        </w:rPr>
        <w:t>I</w:t>
      </w:r>
      <w:bookmarkEnd w:id="19"/>
      <w:r>
        <w:rPr>
          <w:rFonts w:ascii="Times New Roman" w:hAnsi="Times New Roman" w:eastAsia="宋体" w:cs="Times New Roman"/>
          <w:sz w:val="24"/>
          <w:szCs w:val="24"/>
          <w:u w:val="none"/>
          <w:shd w:val="clear"/>
          <w:lang w:val="en-US" w:eastAsia="zh-CN" w:bidi="zh-CN"/>
        </w:rPr>
        <w:t>、</w:t>
      </w:r>
      <w:r>
        <w:rPr>
          <w:rFonts w:ascii="Times New Roman" w:hAnsi="Times New Roman" w:eastAsia="宋体" w:cs="Times New Roman"/>
          <w:sz w:val="24"/>
          <w:szCs w:val="24"/>
          <w:u w:val="none"/>
          <w:shd w:val="clear"/>
          <w:lang w:val="en-US" w:eastAsia="zh-CN" w:bidi="zh-CN"/>
        </w:rPr>
        <w:tab/>
      </w:r>
      <w:r>
        <w:rPr>
          <w:rFonts w:ascii="Times New Roman" w:hAnsi="Times New Roman" w:eastAsia="宋体" w:cs="Times New Roman"/>
          <w:sz w:val="24"/>
          <w:szCs w:val="24"/>
          <w:u w:val="none"/>
          <w:shd w:val="clear"/>
          <w:lang w:val="en-US" w:eastAsia="zh-CN" w:bidi="zh-CN"/>
        </w:rPr>
        <w:t>现场检测：</w:t>
      </w:r>
      <w:r>
        <w:rPr>
          <w:rFonts w:ascii="Times New Roman" w:hAnsi="Times New Roman" w:eastAsia="宋体" w:cs="Times New Roman"/>
          <w:sz w:val="24"/>
          <w:szCs w:val="24"/>
          <w:u w:val="none"/>
          <w:shd w:val="clear"/>
          <w:lang w:val="en-US" w:eastAsia="en-US" w:bidi="zh-CN"/>
        </w:rPr>
        <w:t>pH、DO</w:t>
      </w:r>
      <w:r>
        <w:rPr>
          <w:rFonts w:ascii="Times New Roman" w:hAnsi="Times New Roman" w:eastAsia="宋体" w:cs="Times New Roman"/>
          <w:sz w:val="24"/>
          <w:szCs w:val="24"/>
          <w:u w:val="none"/>
          <w:shd w:val="clear"/>
          <w:lang w:val="en-US" w:eastAsia="zh-CN" w:bidi="zh-CN"/>
        </w:rPr>
        <w:t>等仪器设备经过检定。按规范要求进行现 场标定和测定。样品容器清洗规范。悬浮物等样品单独采样。现场釆 集不少于10%的现场平行样。</w:t>
      </w:r>
    </w:p>
    <w:p>
      <w:pPr>
        <w:pStyle w:val="22"/>
        <w:keepNext w:val="0"/>
        <w:keepLines w:val="0"/>
        <w:widowControl w:val="0"/>
        <w:shd w:val="clear" w:color="auto" w:fill="auto"/>
        <w:tabs>
          <w:tab w:val="left" w:pos="1002"/>
        </w:tabs>
        <w:bidi w:val="0"/>
        <w:spacing w:before="0" w:after="240" w:line="571" w:lineRule="exact"/>
        <w:ind w:left="0" w:right="0" w:firstLine="580"/>
        <w:jc w:val="both"/>
        <w:rPr>
          <w:rFonts w:ascii="Times New Roman" w:hAnsi="Times New Roman" w:eastAsia="宋体" w:cs="Times New Roman"/>
          <w:sz w:val="24"/>
          <w:szCs w:val="24"/>
          <w:u w:val="none"/>
          <w:shd w:val="clear"/>
          <w:lang w:val="en-US" w:eastAsia="zh-CN" w:bidi="zh-CN"/>
        </w:rPr>
      </w:pPr>
      <w:bookmarkStart w:id="20" w:name="bookmark52"/>
      <w:r>
        <w:rPr>
          <w:rFonts w:ascii="Times New Roman" w:hAnsi="Times New Roman" w:eastAsia="宋体" w:cs="Times New Roman"/>
          <w:sz w:val="24"/>
          <w:szCs w:val="24"/>
          <w:u w:val="none"/>
          <w:shd w:val="clear"/>
          <w:lang w:val="en-US" w:eastAsia="en-US" w:bidi="zh-CN"/>
        </w:rPr>
        <w:t>J</w:t>
      </w:r>
      <w:bookmarkEnd w:id="20"/>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实验室质控：使用的纯水均经过检验。对每批样品均测试盲样、 进行空白样品、室内平行样（10%）、加标回收（10%）等质控样品， 确保分析质量。</w:t>
      </w:r>
    </w:p>
    <w:p>
      <w:pPr>
        <w:pStyle w:val="22"/>
        <w:keepNext w:val="0"/>
        <w:keepLines w:val="0"/>
        <w:widowControl w:val="0"/>
        <w:shd w:val="clear" w:color="auto" w:fill="auto"/>
        <w:tabs>
          <w:tab w:val="left" w:pos="435"/>
        </w:tabs>
        <w:bidi w:val="0"/>
        <w:spacing w:before="0" w:after="240" w:line="427" w:lineRule="auto"/>
        <w:ind w:left="0" w:right="0" w:firstLine="540"/>
        <w:jc w:val="both"/>
        <w:rPr>
          <w:rFonts w:ascii="Times New Roman" w:hAnsi="Times New Roman" w:eastAsia="宋体" w:cs="Times New Roman"/>
          <w:sz w:val="24"/>
          <w:szCs w:val="24"/>
          <w:u w:val="none"/>
          <w:shd w:val="clear"/>
          <w:lang w:val="en-US" w:eastAsia="zh-CN" w:bidi="zh-CN"/>
        </w:rPr>
      </w:pPr>
      <w:bookmarkStart w:id="21" w:name="bookmark53"/>
      <w:r>
        <w:rPr>
          <w:rFonts w:ascii="Times New Roman" w:hAnsi="Times New Roman" w:eastAsia="宋体" w:cs="Times New Roman"/>
          <w:sz w:val="24"/>
          <w:szCs w:val="24"/>
          <w:u w:val="none"/>
          <w:shd w:val="clear"/>
          <w:lang w:val="en-US" w:eastAsia="en-US" w:bidi="zh-CN"/>
        </w:rPr>
        <w:t>K</w:t>
      </w:r>
      <w:bookmarkEnd w:id="21"/>
      <w:r>
        <w:rPr>
          <w:rFonts w:ascii="Times New Roman" w:hAnsi="Times New Roman" w:eastAsia="宋体" w:cs="Times New Roman"/>
          <w:sz w:val="24"/>
          <w:szCs w:val="24"/>
          <w:u w:val="none"/>
          <w:shd w:val="clear"/>
          <w:lang w:val="en-US" w:eastAsia="en-US" w:bidi="zh-CN"/>
        </w:rPr>
        <w:t>、</w:t>
      </w:r>
      <w:r>
        <w:rPr>
          <w:rFonts w:ascii="Times New Roman" w:hAnsi="Times New Roman" w:eastAsia="宋体" w:cs="Times New Roman"/>
          <w:sz w:val="24"/>
          <w:szCs w:val="24"/>
          <w:u w:val="none"/>
          <w:shd w:val="clear"/>
          <w:lang w:val="en-US" w:eastAsia="en-US" w:bidi="zh-CN"/>
        </w:rPr>
        <w:tab/>
      </w:r>
      <w:r>
        <w:rPr>
          <w:rFonts w:ascii="Times New Roman" w:hAnsi="Times New Roman" w:eastAsia="宋体" w:cs="Times New Roman"/>
          <w:sz w:val="24"/>
          <w:szCs w:val="24"/>
          <w:u w:val="none"/>
          <w:shd w:val="clear"/>
          <w:lang w:val="en-US" w:eastAsia="zh-CN" w:bidi="zh-CN"/>
        </w:rPr>
        <w:t>样品的保存和运输：采集的水质样品根据规范添加固定剂、冷 藏保存后及时送检、及时分析。</w:t>
      </w:r>
    </w:p>
    <w:p>
      <w:pPr>
        <w:pStyle w:val="2"/>
        <w:spacing w:before="156"/>
        <w:ind w:firstLine="480"/>
        <w:rPr>
          <w:rFonts w:ascii="Times New Roman" w:hAnsi="Times New Roman" w:cs="Times New Roman"/>
          <w:lang w:val="en-US"/>
        </w:rPr>
      </w:pPr>
    </w:p>
    <w:p>
      <w:pPr>
        <w:pStyle w:val="3"/>
        <w:rPr>
          <w:rFonts w:ascii="Times New Roman" w:hAnsi="Times New Roman" w:cs="Times New Roman"/>
          <w:lang w:val="en-US"/>
        </w:rPr>
      </w:pPr>
      <w:r>
        <w:rPr>
          <w:rFonts w:ascii="Times New Roman" w:hAnsi="Times New Roman" w:cs="Times New Roman"/>
          <w:lang w:val="en-US"/>
        </w:rPr>
        <w:t>六、信息记录和报告</w:t>
      </w:r>
    </w:p>
    <w:p>
      <w:pPr>
        <w:pStyle w:val="4"/>
        <w:spacing w:before="0" w:beforeLines="0"/>
        <w:rPr>
          <w:rFonts w:ascii="Times New Roman" w:hAnsi="Times New Roman" w:cs="Times New Roman"/>
          <w:lang w:val="en-US"/>
        </w:rPr>
      </w:pPr>
      <w:r>
        <w:rPr>
          <w:rFonts w:ascii="Times New Roman" w:hAnsi="Times New Roman" w:cs="Times New Roman"/>
          <w:lang w:val="en-US"/>
        </w:rPr>
        <w:t>(一) 信息记录</w:t>
      </w:r>
    </w:p>
    <w:p>
      <w:pPr>
        <w:pStyle w:val="2"/>
        <w:ind w:firstLine="482"/>
        <w:rPr>
          <w:rFonts w:ascii="Times New Roman" w:hAnsi="Times New Roman" w:cs="Times New Roman"/>
          <w:b/>
          <w:bCs/>
        </w:rPr>
      </w:pPr>
      <w:r>
        <w:rPr>
          <w:rFonts w:ascii="Times New Roman" w:hAnsi="Times New Roman" w:cs="Times New Roman"/>
          <w:b/>
          <w:bCs/>
        </w:rPr>
        <w:t>1、监测和运维记录</w:t>
      </w:r>
    </w:p>
    <w:p>
      <w:pPr>
        <w:pStyle w:val="2"/>
        <w:spacing w:before="156"/>
        <w:ind w:firstLine="480"/>
        <w:rPr>
          <w:rFonts w:ascii="Times New Roman" w:hAnsi="Times New Roman" w:cs="Times New Roman"/>
          <w:lang w:val="en-US"/>
        </w:rPr>
      </w:pPr>
      <w:r>
        <w:rPr>
          <w:rFonts w:ascii="Times New Roman" w:hAnsi="Times New Roman" w:cs="Times New Roman"/>
          <w:lang w:val="en-US"/>
        </w:rPr>
        <w:t>手工监测和自动监测的记录均按照《排污单位自行监测技术指南总则》执行。手工监测记录包括采样时间、样品量、样品状态描述、采样人等采样信息，废气记录还包括采样工况下烟气量、烟气流速、烟温、含湿量、氧含量、污染物实测浓度和排放浓度等监测信息，原始记录封面标识使用监测方法及标准号，记录注明使用仪器名称、型号及编号等信息，记录要求及时、真实、准确、清晰、完整。自动监测结果的电子版和手工监测结果纸质版及环境监测管理台账均保存五年。</w:t>
      </w:r>
    </w:p>
    <w:p>
      <w:pPr>
        <w:pStyle w:val="2"/>
        <w:ind w:firstLine="482"/>
        <w:rPr>
          <w:rFonts w:ascii="Times New Roman" w:hAnsi="Times New Roman" w:cs="Times New Roman"/>
          <w:b/>
          <w:bCs/>
        </w:rPr>
      </w:pPr>
      <w:r>
        <w:rPr>
          <w:rFonts w:ascii="Times New Roman" w:hAnsi="Times New Roman" w:cs="Times New Roman"/>
          <w:b/>
          <w:bCs/>
        </w:rPr>
        <w:t>2、生产和污染治理设施运行状况记录</w:t>
      </w:r>
    </w:p>
    <w:p>
      <w:pPr>
        <w:pStyle w:val="2"/>
        <w:ind w:firstLine="480"/>
        <w:rPr>
          <w:rFonts w:ascii="Times New Roman" w:hAnsi="Times New Roman" w:cs="Times New Roman"/>
        </w:rPr>
      </w:pPr>
      <w:r>
        <w:rPr>
          <w:rFonts w:ascii="Times New Roman" w:hAnsi="Times New Roman" w:cs="Times New Roman"/>
        </w:rPr>
        <w:t>生产和污染治理设施运行状况记录包括：各生产单元主要生产设施的累计生产时间、生产负荷、主要产品产量、原辅料及燃料使用情况等数据；各生产单元主要生产设施的累计生产时间、生产负荷、主要产品产量、原辅料及燃料使用情况等数据。台账保存期限五年。</w:t>
      </w:r>
    </w:p>
    <w:p>
      <w:pPr>
        <w:pStyle w:val="4"/>
        <w:spacing w:before="0" w:beforeLines="0"/>
        <w:rPr>
          <w:rFonts w:ascii="Times New Roman" w:hAnsi="Times New Roman" w:cs="Times New Roman"/>
          <w:lang w:val="en-US"/>
        </w:rPr>
      </w:pPr>
      <w:r>
        <w:rPr>
          <w:rFonts w:ascii="Times New Roman" w:hAnsi="Times New Roman" w:cs="Times New Roman"/>
          <w:lang w:val="en-US"/>
        </w:rPr>
        <w:t>(二) 信息报告</w:t>
      </w:r>
    </w:p>
    <w:p>
      <w:pPr>
        <w:pStyle w:val="2"/>
        <w:ind w:firstLine="480"/>
        <w:rPr>
          <w:rFonts w:ascii="Times New Roman" w:hAnsi="Times New Roman" w:cs="Times New Roman"/>
          <w:lang w:val="en-US"/>
        </w:rPr>
      </w:pPr>
      <w:r>
        <w:rPr>
          <w:rFonts w:ascii="Times New Roman" w:hAnsi="Times New Roman" w:cs="Times New Roman"/>
          <w:lang w:val="en-US"/>
        </w:rPr>
        <w:t>每年年底编写第二年的自行监测方案。自行监测方案包含以下内 容：</w:t>
      </w:r>
    </w:p>
    <w:p>
      <w:pPr>
        <w:pStyle w:val="2"/>
        <w:ind w:firstLine="480"/>
        <w:rPr>
          <w:rFonts w:ascii="Times New Roman" w:hAnsi="Times New Roman" w:cs="Times New Roman"/>
          <w:lang w:val="en-US"/>
        </w:rPr>
      </w:pPr>
      <w:r>
        <w:rPr>
          <w:rFonts w:ascii="Times New Roman" w:hAnsi="Times New Roman" w:cs="Times New Roman"/>
          <w:lang w:val="en-US"/>
        </w:rPr>
        <w:t>1、监测方案的调整变化情况及变更原因；</w:t>
      </w:r>
    </w:p>
    <w:p>
      <w:pPr>
        <w:pStyle w:val="2"/>
        <w:ind w:firstLine="480"/>
        <w:rPr>
          <w:rFonts w:ascii="Times New Roman" w:hAnsi="Times New Roman" w:cs="Times New Roman"/>
          <w:lang w:val="en-US"/>
        </w:rPr>
      </w:pPr>
      <w:r>
        <w:rPr>
          <w:rFonts w:ascii="Times New Roman" w:hAnsi="Times New Roman" w:cs="Times New Roman"/>
          <w:lang w:val="en-US"/>
        </w:rPr>
        <w:t>2、企业及各主要生产设施(至少涵盖废气主要污染源相关生产设施)全年运行天数，各监测点、各监测指标全年监测次数、超标情况、浓度分布情况；</w:t>
      </w:r>
    </w:p>
    <w:p>
      <w:pPr>
        <w:pStyle w:val="2"/>
        <w:ind w:firstLine="480"/>
        <w:rPr>
          <w:rFonts w:ascii="Times New Roman" w:hAnsi="Times New Roman" w:cs="Times New Roman"/>
          <w:lang w:val="en-US"/>
        </w:rPr>
      </w:pPr>
      <w:r>
        <w:rPr>
          <w:rFonts w:ascii="Times New Roman" w:hAnsi="Times New Roman" w:cs="Times New Roman"/>
          <w:lang w:val="en-US"/>
        </w:rPr>
        <w:t>3、自行监测开展的其他情况说明；</w:t>
      </w:r>
    </w:p>
    <w:p>
      <w:pPr>
        <w:pStyle w:val="2"/>
        <w:ind w:firstLine="480"/>
        <w:rPr>
          <w:rFonts w:ascii="Times New Roman" w:hAnsi="Times New Roman" w:cs="Times New Roman"/>
          <w:lang w:val="en-US"/>
        </w:rPr>
      </w:pPr>
      <w:r>
        <w:rPr>
          <w:rFonts w:ascii="Times New Roman" w:hAnsi="Times New Roman" w:cs="Times New Roman"/>
          <w:lang w:val="en-US"/>
        </w:rPr>
        <w:t>4、实现达标排放所采取的主要措施。</w:t>
      </w:r>
    </w:p>
    <w:p>
      <w:pPr>
        <w:pStyle w:val="3"/>
        <w:rPr>
          <w:rFonts w:ascii="Times New Roman" w:hAnsi="Times New Roman" w:cs="Times New Roman"/>
          <w:lang w:val="en-US"/>
        </w:rPr>
      </w:pPr>
      <w:r>
        <w:rPr>
          <w:rFonts w:ascii="Times New Roman" w:hAnsi="Times New Roman" w:cs="Times New Roman"/>
          <w:lang w:val="en-US"/>
        </w:rPr>
        <w:t>七、自行监测信息公布</w:t>
      </w:r>
    </w:p>
    <w:p>
      <w:pPr>
        <w:pStyle w:val="4"/>
        <w:spacing w:before="156"/>
        <w:rPr>
          <w:rFonts w:ascii="Times New Roman" w:hAnsi="Times New Roman" w:cs="Times New Roman"/>
          <w:lang w:val="en-US"/>
        </w:rPr>
      </w:pPr>
      <w:r>
        <w:rPr>
          <w:rFonts w:ascii="Times New Roman" w:hAnsi="Times New Roman" w:cs="Times New Roman"/>
          <w:lang w:val="en-US"/>
        </w:rPr>
        <w:t>(一) 公布方式</w:t>
      </w:r>
    </w:p>
    <w:p>
      <w:pPr>
        <w:pStyle w:val="2"/>
        <w:ind w:firstLine="480"/>
        <w:rPr>
          <w:rFonts w:ascii="Times New Roman" w:hAnsi="Times New Roman" w:cs="Times New Roman"/>
        </w:rPr>
      </w:pPr>
      <w:r>
        <w:rPr>
          <w:rFonts w:ascii="Times New Roman" w:hAnsi="Times New Roman" w:cs="Times New Roman"/>
        </w:rPr>
        <w:t>自动监测、手动监测均可在国家排污许可信息公开系统平台(</w:t>
      </w:r>
      <w:r>
        <w:fldChar w:fldCharType="begin"/>
      </w:r>
      <w:r>
        <w:instrText xml:space="preserve"> HYPERLINK "http://permit.mee.gov.cn" </w:instrText>
      </w:r>
      <w:r>
        <w:fldChar w:fldCharType="separate"/>
      </w:r>
      <w:r>
        <w:rPr>
          <w:rFonts w:ascii="Times New Roman" w:hAnsi="Times New Roman" w:cs="Times New Roman"/>
        </w:rPr>
        <w:t>http://permit.mee.gov.cn</w:t>
      </w:r>
      <w:r>
        <w:rPr>
          <w:rFonts w:ascii="Times New Roman" w:hAnsi="Times New Roman" w:cs="Times New Roman"/>
        </w:rPr>
        <w:fldChar w:fldCharType="end"/>
      </w:r>
      <w:r>
        <w:rPr>
          <w:rFonts w:ascii="Times New Roman" w:hAnsi="Times New Roman" w:cs="Times New Roman"/>
        </w:rPr>
        <w:t>)和江苏省重点监控企业自行监测信息发布平台(网址：http://218.94.78.61:8080)上进行信息公开。</w:t>
      </w:r>
    </w:p>
    <w:p>
      <w:pPr>
        <w:pStyle w:val="4"/>
        <w:spacing w:before="156"/>
        <w:rPr>
          <w:rFonts w:ascii="Times New Roman" w:hAnsi="Times New Roman" w:cs="Times New Roman"/>
          <w:lang w:val="en-US"/>
        </w:rPr>
      </w:pPr>
      <w:r>
        <w:rPr>
          <w:rFonts w:ascii="Times New Roman" w:hAnsi="Times New Roman" w:cs="Times New Roman"/>
          <w:lang w:val="en-US"/>
        </w:rPr>
        <w:t>(二) 公布内容</w:t>
      </w:r>
    </w:p>
    <w:p>
      <w:pPr>
        <w:pStyle w:val="2"/>
        <w:ind w:firstLine="480"/>
        <w:rPr>
          <w:rFonts w:ascii="Times New Roman" w:hAnsi="Times New Roman" w:cs="Times New Roman"/>
          <w:lang w:val="en-US"/>
        </w:rPr>
      </w:pPr>
      <w:r>
        <w:rPr>
          <w:rFonts w:ascii="Times New Roman" w:hAnsi="Times New Roman" w:cs="Times New Roman"/>
          <w:lang w:val="en-US"/>
        </w:rPr>
        <w:t>1、基础信息，包括单位名称、组织机构代码、法定代表人、生产地址、联系方式，以及生产经营和管理服务的主要内容、产品及规模；</w:t>
      </w:r>
    </w:p>
    <w:p>
      <w:pPr>
        <w:pStyle w:val="2"/>
        <w:ind w:firstLine="480"/>
        <w:rPr>
          <w:rFonts w:ascii="Times New Roman" w:hAnsi="Times New Roman" w:cs="Times New Roman"/>
          <w:lang w:val="en-US"/>
        </w:rPr>
      </w:pPr>
      <w:r>
        <w:rPr>
          <w:rFonts w:ascii="Times New Roman" w:hAnsi="Times New Roman" w:cs="Times New Roman"/>
          <w:lang w:val="en-US"/>
        </w:rPr>
        <w:t>2、排污信息，包括主要污染物及特征污染物的名称、排放方式、排放口数量和分布情况、排放浓度和总量、超标情况，以及执行的污染物排放标准、核定的排放总量；</w:t>
      </w:r>
    </w:p>
    <w:p>
      <w:pPr>
        <w:pStyle w:val="2"/>
        <w:ind w:firstLine="480"/>
        <w:rPr>
          <w:rFonts w:ascii="Times New Roman" w:hAnsi="Times New Roman" w:cs="Times New Roman"/>
          <w:lang w:val="en-US"/>
        </w:rPr>
      </w:pPr>
      <w:r>
        <w:rPr>
          <w:rFonts w:ascii="Times New Roman" w:hAnsi="Times New Roman" w:cs="Times New Roman"/>
          <w:lang w:val="en-US"/>
        </w:rPr>
        <w:t>3、防治污染设施的建设和运行情况；</w:t>
      </w:r>
    </w:p>
    <w:p>
      <w:pPr>
        <w:pStyle w:val="2"/>
        <w:ind w:firstLine="480"/>
        <w:rPr>
          <w:rFonts w:ascii="Times New Roman" w:hAnsi="Times New Roman" w:cs="Times New Roman"/>
          <w:lang w:val="en-US"/>
        </w:rPr>
      </w:pPr>
      <w:r>
        <w:rPr>
          <w:rFonts w:ascii="Times New Roman" w:hAnsi="Times New Roman" w:cs="Times New Roman"/>
          <w:lang w:val="en-US"/>
        </w:rPr>
        <w:t>4、建设项目环境影响评价及其他环境保护行政许可情况；</w:t>
      </w:r>
    </w:p>
    <w:p>
      <w:pPr>
        <w:pStyle w:val="2"/>
        <w:ind w:firstLine="480"/>
        <w:rPr>
          <w:rFonts w:ascii="Times New Roman" w:hAnsi="Times New Roman" w:cs="Times New Roman"/>
          <w:lang w:val="en-US"/>
        </w:rPr>
      </w:pPr>
      <w:r>
        <w:rPr>
          <w:rFonts w:ascii="Times New Roman" w:hAnsi="Times New Roman" w:cs="Times New Roman"/>
          <w:lang w:val="en-US"/>
        </w:rPr>
        <w:t>5、公司自行监测方案；</w:t>
      </w:r>
    </w:p>
    <w:p>
      <w:pPr>
        <w:pStyle w:val="2"/>
        <w:ind w:firstLine="480"/>
        <w:rPr>
          <w:rFonts w:ascii="Times New Roman" w:hAnsi="Times New Roman" w:cs="Times New Roman"/>
          <w:lang w:val="en-US"/>
        </w:rPr>
      </w:pPr>
      <w:r>
        <w:rPr>
          <w:rFonts w:ascii="Times New Roman" w:hAnsi="Times New Roman" w:cs="Times New Roman"/>
          <w:lang w:val="en-US"/>
        </w:rPr>
        <w:t>6、未开展自行监测的原因；</w:t>
      </w:r>
    </w:p>
    <w:p>
      <w:pPr>
        <w:pStyle w:val="2"/>
        <w:ind w:firstLine="480"/>
        <w:rPr>
          <w:rFonts w:ascii="Times New Roman" w:hAnsi="Times New Roman" w:cs="Times New Roman"/>
          <w:lang w:val="en-US"/>
        </w:rPr>
      </w:pPr>
      <w:r>
        <w:rPr>
          <w:rFonts w:ascii="Times New Roman" w:hAnsi="Times New Roman" w:cs="Times New Roman"/>
          <w:lang w:val="en-US"/>
        </w:rPr>
        <w:t>7、自行监测年度报告；</w:t>
      </w:r>
    </w:p>
    <w:p>
      <w:pPr>
        <w:pStyle w:val="2"/>
        <w:ind w:firstLine="480"/>
        <w:rPr>
          <w:rFonts w:ascii="Times New Roman" w:hAnsi="Times New Roman" w:cs="Times New Roman"/>
          <w:lang w:val="en-US"/>
        </w:rPr>
      </w:pPr>
      <w:r>
        <w:rPr>
          <w:rFonts w:ascii="Times New Roman" w:hAnsi="Times New Roman" w:cs="Times New Roman"/>
          <w:lang w:val="en-US"/>
        </w:rPr>
        <w:t>8、突发环境事件应急预案。</w:t>
      </w:r>
    </w:p>
    <w:p>
      <w:pPr>
        <w:pStyle w:val="4"/>
        <w:spacing w:before="156"/>
        <w:rPr>
          <w:rFonts w:ascii="Times New Roman" w:hAnsi="Times New Roman" w:cs="Times New Roman"/>
          <w:lang w:val="en-US"/>
        </w:rPr>
      </w:pPr>
      <w:r>
        <w:rPr>
          <w:rFonts w:ascii="Times New Roman" w:hAnsi="Times New Roman" w:cs="Times New Roman"/>
          <w:lang w:val="en-US"/>
        </w:rPr>
        <w:t>(三) 公布时限</w:t>
      </w:r>
    </w:p>
    <w:p>
      <w:pPr>
        <w:pStyle w:val="2"/>
        <w:ind w:firstLine="480"/>
        <w:rPr>
          <w:rFonts w:ascii="Times New Roman" w:hAnsi="Times New Roman" w:cs="Times New Roman"/>
          <w:lang w:val="en-US"/>
        </w:rPr>
      </w:pPr>
      <w:r>
        <w:rPr>
          <w:rFonts w:ascii="Times New Roman" w:hAnsi="Times New Roman" w:cs="Times New Roman"/>
          <w:lang w:val="en-US"/>
        </w:rPr>
        <w:t>1、企业基础信息随监测数据一并公布，基础信息、自行监测方案一经审核备案，一年内不得更改；</w:t>
      </w:r>
    </w:p>
    <w:p>
      <w:pPr>
        <w:pStyle w:val="2"/>
        <w:ind w:firstLine="480"/>
        <w:rPr>
          <w:rFonts w:ascii="Times New Roman" w:hAnsi="Times New Roman" w:cs="Times New Roman"/>
          <w:lang w:val="en-US"/>
        </w:rPr>
      </w:pPr>
      <w:r>
        <w:rPr>
          <w:rFonts w:ascii="Times New Roman" w:hAnsi="Times New Roman" w:cs="Times New Roman"/>
          <w:lang w:val="en-US"/>
        </w:rPr>
        <w:t>2、手工监测数据根据监测频次按时监测；</w:t>
      </w:r>
    </w:p>
    <w:p>
      <w:pPr>
        <w:pStyle w:val="2"/>
        <w:ind w:firstLine="480"/>
        <w:rPr>
          <w:rFonts w:ascii="Times New Roman" w:hAnsi="Times New Roman" w:cs="Times New Roman"/>
          <w:lang w:val="en-US"/>
        </w:rPr>
      </w:pPr>
      <w:r>
        <w:rPr>
          <w:rFonts w:ascii="Times New Roman" w:hAnsi="Times New Roman" w:cs="Times New Roman"/>
          <w:lang w:val="en-US"/>
        </w:rPr>
        <w:t>3、自动监测数据实时公布，废气自动监测设备产生的数据为小时均值；</w:t>
      </w:r>
    </w:p>
    <w:p>
      <w:pPr>
        <w:pStyle w:val="7"/>
        <w:ind w:left="0" w:leftChars="0" w:firstLine="0" w:firstLineChars="0"/>
        <w:rPr>
          <w:rFonts w:hint="eastAsia"/>
          <w:lang w:val="en-US" w:eastAsia="zh-CN"/>
        </w:rPr>
      </w:pPr>
      <w:r>
        <w:rPr>
          <w:rFonts w:ascii="Times New Roman" w:hAnsi="Times New Roman" w:cs="Times New Roman"/>
          <w:lang w:val="en-US"/>
        </w:rPr>
        <w:t>4、每年元月底前公布上年度自行监测年度报告。</w:t>
      </w:r>
      <w:bookmarkEnd w:id="4"/>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ageBreakBefore w:val="0"/>
        <w:widowControl/>
        <w:shd w:val="clear" w:color="auto" w:fill="FFFFFF"/>
        <w:kinsoku/>
        <w:wordWrap/>
        <w:overflowPunct/>
        <w:topLinePunct w:val="0"/>
        <w:bidi w:val="0"/>
        <w:spacing w:line="360" w:lineRule="exact"/>
        <w:ind w:firstLine="1820" w:firstLineChars="700"/>
        <w:jc w:val="left"/>
        <w:textAlignment w:val="auto"/>
        <w:rPr>
          <w:rFonts w:hint="eastAsia" w:ascii="黑体" w:hAnsi="宋体" w:eastAsia="黑体" w:cs="Times New Roman"/>
          <w:spacing w:val="-10"/>
          <w:sz w:val="28"/>
          <w:szCs w:val="28"/>
          <w:lang w:eastAsia="zh-CN"/>
        </w:rPr>
      </w:pPr>
      <w:r>
        <w:rPr>
          <w:rFonts w:hint="eastAsia" w:ascii="黑体" w:hAnsi="宋体" w:eastAsia="黑体"/>
          <w:spacing w:val="-10"/>
          <w:sz w:val="28"/>
          <w:szCs w:val="28"/>
        </w:rPr>
        <w:t>第</w:t>
      </w:r>
      <w:r>
        <w:rPr>
          <w:rFonts w:hint="eastAsia" w:ascii="黑体" w:hAnsi="宋体" w:eastAsia="黑体"/>
          <w:spacing w:val="-10"/>
          <w:sz w:val="28"/>
          <w:szCs w:val="28"/>
          <w:lang w:eastAsia="zh-CN"/>
        </w:rPr>
        <w:t>四</w:t>
      </w:r>
      <w:r>
        <w:rPr>
          <w:rFonts w:hint="eastAsia" w:ascii="黑体" w:hAnsi="宋体" w:eastAsia="黑体" w:cs="Times New Roman"/>
          <w:spacing w:val="-10"/>
          <w:sz w:val="28"/>
          <w:szCs w:val="28"/>
          <w:lang w:eastAsia="zh-CN"/>
        </w:rPr>
        <w:t>章 合同主要条款及格式</w:t>
      </w:r>
    </w:p>
    <w:p>
      <w:pPr>
        <w:autoSpaceDE w:val="0"/>
        <w:autoSpaceDN w:val="0"/>
        <w:adjustRightInd w:val="0"/>
        <w:spacing w:line="280" w:lineRule="exact"/>
        <w:ind w:firstLine="2340" w:firstLineChars="900"/>
        <w:jc w:val="left"/>
        <w:rPr>
          <w:rFonts w:hint="eastAsia" w:ascii="黑体" w:hAnsi="宋体" w:eastAsia="黑体" w:cs="Times New Roman"/>
          <w:spacing w:val="-10"/>
          <w:sz w:val="28"/>
          <w:szCs w:val="28"/>
          <w:lang w:eastAsia="zh-CN"/>
        </w:rPr>
      </w:pPr>
      <w:r>
        <w:rPr>
          <w:rFonts w:hint="eastAsia" w:ascii="黑体" w:hAnsi="宋体" w:eastAsia="黑体" w:cs="Times New Roman"/>
          <w:spacing w:val="-10"/>
          <w:sz w:val="28"/>
          <w:szCs w:val="28"/>
          <w:lang w:eastAsia="zh-CN"/>
        </w:rPr>
        <w:t>（服务合同仅供参考）</w:t>
      </w:r>
    </w:p>
    <w:p>
      <w:pPr>
        <w:autoSpaceDE w:val="0"/>
        <w:autoSpaceDN w:val="0"/>
        <w:adjustRightInd w:val="0"/>
        <w:spacing w:line="280" w:lineRule="exact"/>
        <w:ind w:firstLine="540" w:firstLineChars="300"/>
        <w:jc w:val="left"/>
        <w:rPr>
          <w:rFonts w:hint="eastAsia" w:ascii="宋体" w:hAnsi="宋体"/>
          <w:color w:val="000000"/>
          <w:sz w:val="18"/>
          <w:szCs w:val="18"/>
        </w:rPr>
      </w:pPr>
      <w:r>
        <w:rPr>
          <w:rFonts w:hint="eastAsia" w:ascii="宋体" w:hAnsi="宋体"/>
          <w:color w:val="000000"/>
          <w:sz w:val="18"/>
          <w:szCs w:val="18"/>
        </w:rPr>
        <w:t>本合同甲方委托乙方就南京市溧水区人民医院环保自行监测方案进行环保检测服务，同时协助甲方将检测数据在相关环保管理平台上进行登记上报。甲方就本次监测服务支付乙方报酬，双方经过平等协商，在真实、充分地表达各自意愿的基础上，根据《中华人民共和国</w:t>
      </w:r>
      <w:r>
        <w:rPr>
          <w:rFonts w:hint="eastAsia" w:ascii="宋体" w:hAnsi="宋体"/>
          <w:color w:val="000000"/>
          <w:sz w:val="18"/>
          <w:szCs w:val="18"/>
          <w:lang w:eastAsia="zh-CN"/>
        </w:rPr>
        <w:t>民法典</w:t>
      </w:r>
      <w:r>
        <w:rPr>
          <w:rFonts w:hint="eastAsia" w:ascii="宋体" w:hAnsi="宋体"/>
          <w:color w:val="000000"/>
          <w:sz w:val="18"/>
          <w:szCs w:val="18"/>
        </w:rPr>
        <w:t>》的规定，达成如下协议，并由双方共同恪守。</w:t>
      </w:r>
    </w:p>
    <w:p>
      <w:pPr>
        <w:autoSpaceDE w:val="0"/>
        <w:autoSpaceDN w:val="0"/>
        <w:adjustRightInd w:val="0"/>
        <w:spacing w:line="280" w:lineRule="exact"/>
        <w:jc w:val="left"/>
        <w:rPr>
          <w:rFonts w:hint="eastAsia" w:ascii="宋体" w:hAnsi="宋体"/>
          <w:b/>
          <w:bCs/>
          <w:color w:val="000000"/>
          <w:sz w:val="18"/>
          <w:szCs w:val="18"/>
        </w:rPr>
      </w:pPr>
      <w:r>
        <w:rPr>
          <w:rFonts w:hint="eastAsia" w:ascii="宋体" w:hAnsi="宋体"/>
          <w:b/>
          <w:bCs/>
          <w:color w:val="000000"/>
          <w:sz w:val="18"/>
          <w:szCs w:val="18"/>
        </w:rPr>
        <w:t>第一条    服务范围及内容</w:t>
      </w:r>
    </w:p>
    <w:p>
      <w:pPr>
        <w:autoSpaceDE w:val="0"/>
        <w:autoSpaceDN w:val="0"/>
        <w:adjustRightInd w:val="0"/>
        <w:spacing w:line="280" w:lineRule="exact"/>
        <w:ind w:firstLine="180" w:firstLineChars="100"/>
        <w:jc w:val="left"/>
        <w:rPr>
          <w:rFonts w:hint="eastAsia" w:ascii="宋体" w:hAnsi="宋体"/>
          <w:color w:val="000000"/>
          <w:sz w:val="18"/>
          <w:szCs w:val="18"/>
        </w:rPr>
      </w:pPr>
      <w:r>
        <w:rPr>
          <w:rFonts w:hint="eastAsia" w:ascii="宋体" w:hAnsi="宋体"/>
          <w:color w:val="000000"/>
          <w:sz w:val="18"/>
          <w:szCs w:val="18"/>
        </w:rPr>
        <w:t>1、环保自行监测服务内容：按照各级政府环保部门提出的计划进度和要求，协助甲方开展环保自行监测和数据网上填报等相关的工作。</w:t>
      </w:r>
    </w:p>
    <w:p>
      <w:pPr>
        <w:autoSpaceDE w:val="0"/>
        <w:autoSpaceDN w:val="0"/>
        <w:adjustRightInd w:val="0"/>
        <w:spacing w:line="280" w:lineRule="exact"/>
        <w:ind w:firstLine="180" w:firstLineChars="100"/>
        <w:jc w:val="left"/>
        <w:rPr>
          <w:rFonts w:hint="eastAsia" w:ascii="宋体" w:hAnsi="宋体"/>
          <w:color w:val="000000"/>
          <w:sz w:val="18"/>
          <w:szCs w:val="18"/>
        </w:rPr>
      </w:pPr>
      <w:r>
        <w:rPr>
          <w:rFonts w:hint="eastAsia" w:ascii="宋体" w:hAnsi="宋体"/>
          <w:color w:val="000000"/>
          <w:sz w:val="18"/>
          <w:szCs w:val="18"/>
        </w:rPr>
        <w:t>2、技术服务要求：</w:t>
      </w:r>
    </w:p>
    <w:p>
      <w:pPr>
        <w:autoSpaceDE w:val="0"/>
        <w:autoSpaceDN w:val="0"/>
        <w:adjustRightInd w:val="0"/>
        <w:spacing w:line="280" w:lineRule="exact"/>
        <w:ind w:firstLine="180" w:firstLineChars="100"/>
        <w:jc w:val="left"/>
        <w:rPr>
          <w:rFonts w:hint="eastAsia" w:ascii="宋体" w:hAnsi="宋体"/>
          <w:color w:val="000000"/>
          <w:sz w:val="18"/>
          <w:szCs w:val="18"/>
        </w:rPr>
      </w:pPr>
      <w:r>
        <w:rPr>
          <w:rFonts w:hint="eastAsia" w:ascii="宋体" w:hAnsi="宋体"/>
          <w:color w:val="000000"/>
          <w:sz w:val="18"/>
          <w:szCs w:val="18"/>
        </w:rPr>
        <w:t>（1）乙方具有国家规定的相关检测资质，根据甲方需求和国家有关环境保护法律、法规、政策等，为甲方在自行监测方案范围内进行环保监测及数据登记上报。</w:t>
      </w:r>
    </w:p>
    <w:p>
      <w:pPr>
        <w:autoSpaceDE w:val="0"/>
        <w:autoSpaceDN w:val="0"/>
        <w:adjustRightInd w:val="0"/>
        <w:spacing w:line="280" w:lineRule="exact"/>
        <w:ind w:firstLine="180" w:firstLineChars="100"/>
        <w:jc w:val="left"/>
        <w:rPr>
          <w:rFonts w:hint="eastAsia" w:ascii="宋体" w:hAnsi="宋体"/>
          <w:color w:val="000000"/>
          <w:sz w:val="18"/>
          <w:szCs w:val="18"/>
        </w:rPr>
      </w:pPr>
      <w:r>
        <w:rPr>
          <w:rFonts w:hint="eastAsia" w:ascii="宋体" w:hAnsi="宋体"/>
          <w:color w:val="000000"/>
          <w:sz w:val="18"/>
          <w:szCs w:val="18"/>
        </w:rPr>
        <w:t>（2）如有偶发数据异常，不能直接发布，应及时书面通知甲方，查清原因，待问题解决并复查正常后方能发布，如因乙方处理不当对甲方造成负面影响或经济损失，乙方承担全部责任。</w:t>
      </w:r>
    </w:p>
    <w:p>
      <w:pPr>
        <w:autoSpaceDE w:val="0"/>
        <w:autoSpaceDN w:val="0"/>
        <w:adjustRightInd w:val="0"/>
        <w:spacing w:line="280" w:lineRule="exact"/>
        <w:ind w:firstLine="180" w:firstLineChars="100"/>
        <w:jc w:val="left"/>
        <w:rPr>
          <w:rFonts w:hint="eastAsia" w:ascii="宋体" w:hAnsi="宋体"/>
          <w:color w:val="000000"/>
          <w:sz w:val="18"/>
          <w:szCs w:val="18"/>
        </w:rPr>
      </w:pPr>
      <w:r>
        <w:rPr>
          <w:rFonts w:hint="eastAsia" w:ascii="宋体" w:hAnsi="宋体"/>
          <w:color w:val="000000"/>
          <w:sz w:val="18"/>
          <w:szCs w:val="18"/>
        </w:rPr>
        <w:t>（3）服务期限：合同签订后的</w:t>
      </w:r>
      <w:r>
        <w:rPr>
          <w:rFonts w:hint="eastAsia" w:ascii="宋体" w:hAnsi="宋体"/>
          <w:color w:val="000000"/>
          <w:sz w:val="18"/>
          <w:szCs w:val="18"/>
          <w:lang w:eastAsia="zh-CN"/>
        </w:rPr>
        <w:t>两</w:t>
      </w:r>
      <w:r>
        <w:rPr>
          <w:rFonts w:hint="eastAsia" w:ascii="宋体" w:hAnsi="宋体"/>
          <w:color w:val="000000"/>
          <w:sz w:val="18"/>
          <w:szCs w:val="18"/>
        </w:rPr>
        <w:t>年内，即</w:t>
      </w:r>
      <w:r>
        <w:rPr>
          <w:rFonts w:hint="eastAsia" w:ascii="宋体" w:hAnsi="宋体"/>
          <w:b/>
          <w:bCs/>
          <w:color w:val="000000"/>
          <w:sz w:val="18"/>
          <w:szCs w:val="18"/>
          <w:u w:val="single"/>
          <w:lang w:val="en-US" w:eastAsia="zh-CN"/>
        </w:rPr>
        <w:t xml:space="preserve">    </w:t>
      </w:r>
      <w:r>
        <w:rPr>
          <w:rFonts w:hint="eastAsia" w:ascii="宋体" w:hAnsi="宋体"/>
          <w:b/>
          <w:bCs/>
          <w:color w:val="000000"/>
          <w:sz w:val="18"/>
          <w:szCs w:val="18"/>
          <w:u w:val="single"/>
        </w:rPr>
        <w:t>至</w:t>
      </w:r>
      <w:r>
        <w:rPr>
          <w:rFonts w:hint="eastAsia" w:ascii="宋体" w:hAnsi="宋体"/>
          <w:b/>
          <w:bCs/>
          <w:color w:val="000000"/>
          <w:sz w:val="18"/>
          <w:szCs w:val="18"/>
          <w:u w:val="single"/>
          <w:lang w:val="en-US" w:eastAsia="zh-CN"/>
        </w:rPr>
        <w:t xml:space="preserve">      </w:t>
      </w:r>
      <w:r>
        <w:rPr>
          <w:rFonts w:hint="eastAsia" w:ascii="宋体" w:hAnsi="宋体"/>
          <w:color w:val="000000"/>
          <w:sz w:val="18"/>
          <w:szCs w:val="18"/>
          <w:u w:val="single"/>
        </w:rPr>
        <w:t>止</w:t>
      </w:r>
      <w:r>
        <w:rPr>
          <w:rFonts w:hint="eastAsia" w:ascii="宋体" w:hAnsi="宋体"/>
          <w:color w:val="000000"/>
          <w:sz w:val="18"/>
          <w:szCs w:val="18"/>
        </w:rPr>
        <w:t>。甲方对乙方的服务质量进行年度评价，由总务科（56232027）负责监督考核乙方的服务，如在合同期内甲方对乙方服务不满意，甲方有权更换掉乙方，并终止与乙方的合作关系。</w:t>
      </w:r>
    </w:p>
    <w:p>
      <w:pPr>
        <w:autoSpaceDE w:val="0"/>
        <w:autoSpaceDN w:val="0"/>
        <w:adjustRightInd w:val="0"/>
        <w:spacing w:line="280" w:lineRule="exact"/>
        <w:ind w:firstLine="180" w:firstLineChars="100"/>
        <w:jc w:val="left"/>
        <w:rPr>
          <w:rFonts w:hint="eastAsia" w:ascii="宋体" w:hAnsi="宋体"/>
          <w:color w:val="000000"/>
          <w:sz w:val="18"/>
          <w:szCs w:val="18"/>
        </w:rPr>
      </w:pPr>
      <w:r>
        <w:rPr>
          <w:rFonts w:hint="eastAsia" w:ascii="宋体" w:hAnsi="宋体"/>
          <w:color w:val="000000"/>
          <w:sz w:val="18"/>
          <w:szCs w:val="18"/>
        </w:rPr>
        <w:t>3、服务方式： 数据监测、网上填报、技术咨询、现场指导。</w:t>
      </w:r>
    </w:p>
    <w:p>
      <w:pPr>
        <w:autoSpaceDE w:val="0"/>
        <w:autoSpaceDN w:val="0"/>
        <w:adjustRightInd w:val="0"/>
        <w:spacing w:line="280" w:lineRule="exact"/>
        <w:ind w:firstLine="180" w:firstLineChars="100"/>
        <w:jc w:val="left"/>
        <w:rPr>
          <w:rFonts w:hint="eastAsia" w:ascii="宋体" w:hAnsi="宋体"/>
          <w:color w:val="000000"/>
          <w:sz w:val="18"/>
          <w:szCs w:val="18"/>
        </w:rPr>
      </w:pPr>
      <w:r>
        <w:rPr>
          <w:rFonts w:hint="eastAsia" w:ascii="宋体" w:hAnsi="宋体"/>
          <w:color w:val="000000"/>
          <w:sz w:val="18"/>
          <w:szCs w:val="18"/>
        </w:rPr>
        <w:t>4、乙方每次进场采样、检测等必须通知甲方，并在甲方监管下有序进行。每次采样、检测等不得影响甲方的正常经营秩序。</w:t>
      </w:r>
    </w:p>
    <w:p>
      <w:pPr>
        <w:autoSpaceDE w:val="0"/>
        <w:autoSpaceDN w:val="0"/>
        <w:adjustRightInd w:val="0"/>
        <w:spacing w:line="280" w:lineRule="exact"/>
        <w:jc w:val="left"/>
        <w:rPr>
          <w:rFonts w:hint="eastAsia" w:ascii="宋体" w:hAnsi="宋体"/>
          <w:b/>
          <w:bCs/>
          <w:color w:val="000000"/>
          <w:sz w:val="18"/>
          <w:szCs w:val="18"/>
        </w:rPr>
      </w:pPr>
      <w:r>
        <w:rPr>
          <w:rFonts w:hint="eastAsia" w:ascii="宋体" w:hAnsi="宋体"/>
          <w:b/>
          <w:bCs/>
          <w:color w:val="000000"/>
          <w:sz w:val="18"/>
          <w:szCs w:val="18"/>
        </w:rPr>
        <w:t>第二条    合同价款及支付</w:t>
      </w:r>
    </w:p>
    <w:p>
      <w:pPr>
        <w:autoSpaceDE w:val="0"/>
        <w:autoSpaceDN w:val="0"/>
        <w:adjustRightInd w:val="0"/>
        <w:spacing w:line="280" w:lineRule="exact"/>
        <w:jc w:val="left"/>
        <w:rPr>
          <w:rFonts w:ascii="宋体" w:hAnsi="宋体"/>
          <w:color w:val="000000"/>
          <w:sz w:val="18"/>
          <w:szCs w:val="18"/>
        </w:rPr>
      </w:pPr>
      <w:r>
        <w:rPr>
          <w:rFonts w:hint="eastAsia" w:ascii="宋体" w:hAnsi="宋体"/>
          <w:color w:val="000000"/>
          <w:sz w:val="18"/>
          <w:szCs w:val="18"/>
        </w:rPr>
        <w:t>1.环保自行检测项目技术服务：年服务费用为人民币</w:t>
      </w:r>
      <w:r>
        <w:rPr>
          <w:rFonts w:hint="eastAsia" w:ascii="宋体" w:hAnsi="宋体"/>
          <w:color w:val="000000"/>
          <w:sz w:val="18"/>
          <w:szCs w:val="18"/>
          <w:u w:val="single"/>
          <w:lang w:val="en-US" w:eastAsia="zh-CN"/>
        </w:rPr>
        <w:t xml:space="preserve">   </w:t>
      </w:r>
      <w:r>
        <w:rPr>
          <w:rFonts w:hint="eastAsia" w:ascii="宋体" w:hAnsi="宋体"/>
          <w:b/>
          <w:bCs/>
          <w:color w:val="000000"/>
          <w:sz w:val="18"/>
          <w:szCs w:val="18"/>
          <w:u w:val="single"/>
        </w:rPr>
        <w:t>。</w:t>
      </w:r>
    </w:p>
    <w:p>
      <w:pPr>
        <w:autoSpaceDE w:val="0"/>
        <w:autoSpaceDN w:val="0"/>
        <w:adjustRightInd w:val="0"/>
        <w:spacing w:line="280" w:lineRule="exact"/>
        <w:jc w:val="left"/>
        <w:rPr>
          <w:rFonts w:hint="eastAsia" w:ascii="宋体" w:hAnsi="宋体"/>
          <w:color w:val="000000"/>
          <w:sz w:val="18"/>
          <w:szCs w:val="18"/>
        </w:rPr>
      </w:pPr>
      <w:r>
        <w:rPr>
          <w:rFonts w:hint="eastAsia" w:ascii="宋体" w:hAnsi="宋体"/>
          <w:color w:val="000000"/>
          <w:sz w:val="18"/>
          <w:szCs w:val="18"/>
        </w:rPr>
        <w:t>2.上述合同总价包括：环保自行检测技术服务项目的采样费、分析费、劳务费、交通费、报告编辑费和税金等一切所需费用。</w:t>
      </w:r>
    </w:p>
    <w:p>
      <w:pPr>
        <w:snapToGrid w:val="0"/>
        <w:spacing w:line="280" w:lineRule="exact"/>
        <w:rPr>
          <w:rFonts w:hint="eastAsia" w:ascii="宋体" w:hAnsi="宋体" w:eastAsia="宋体"/>
          <w:b/>
          <w:bCs/>
          <w:color w:val="000000"/>
          <w:sz w:val="18"/>
          <w:szCs w:val="18"/>
          <w:lang w:eastAsia="zh-CN"/>
        </w:rPr>
      </w:pPr>
      <w:r>
        <w:rPr>
          <w:rFonts w:hint="eastAsia" w:ascii="宋体" w:hAnsi="宋体"/>
          <w:color w:val="000000"/>
          <w:sz w:val="18"/>
          <w:szCs w:val="18"/>
        </w:rPr>
        <w:t>3.</w:t>
      </w:r>
      <w:r>
        <w:rPr>
          <w:rFonts w:hint="eastAsia" w:ascii="宋体" w:hAnsi="宋体"/>
          <w:b/>
          <w:bCs/>
          <w:color w:val="000000"/>
          <w:sz w:val="18"/>
          <w:szCs w:val="18"/>
          <w:u w:val="single"/>
        </w:rPr>
        <w:t>付款方式：</w:t>
      </w:r>
      <w:r>
        <w:rPr>
          <w:rFonts w:hint="eastAsia" w:ascii="宋体" w:hAnsi="宋体"/>
          <w:b/>
          <w:bCs/>
          <w:color w:val="000000"/>
          <w:sz w:val="18"/>
          <w:szCs w:val="18"/>
          <w:u w:val="single"/>
          <w:lang w:eastAsia="zh-CN"/>
        </w:rPr>
        <w:t>详见采购文件。</w:t>
      </w:r>
    </w:p>
    <w:p>
      <w:pPr>
        <w:autoSpaceDE w:val="0"/>
        <w:autoSpaceDN w:val="0"/>
        <w:adjustRightInd w:val="0"/>
        <w:spacing w:line="280" w:lineRule="exact"/>
        <w:jc w:val="left"/>
        <w:rPr>
          <w:rFonts w:hint="eastAsia" w:ascii="宋体" w:hAnsi="宋体"/>
          <w:b/>
          <w:bCs/>
          <w:color w:val="000000"/>
          <w:sz w:val="18"/>
          <w:szCs w:val="18"/>
        </w:rPr>
      </w:pPr>
      <w:r>
        <w:rPr>
          <w:rFonts w:hint="eastAsia" w:ascii="宋体" w:hAnsi="宋体"/>
          <w:b/>
          <w:bCs/>
          <w:color w:val="000000"/>
          <w:sz w:val="18"/>
          <w:szCs w:val="18"/>
        </w:rPr>
        <w:t>第三条   双方权利与义务</w:t>
      </w:r>
    </w:p>
    <w:p>
      <w:pPr>
        <w:autoSpaceDE w:val="0"/>
        <w:autoSpaceDN w:val="0"/>
        <w:adjustRightInd w:val="0"/>
        <w:spacing w:line="280" w:lineRule="exact"/>
        <w:jc w:val="left"/>
        <w:rPr>
          <w:rFonts w:hint="eastAsia" w:ascii="宋体" w:hAnsi="宋体"/>
          <w:b/>
          <w:bCs/>
          <w:color w:val="000000"/>
          <w:sz w:val="18"/>
          <w:szCs w:val="18"/>
        </w:rPr>
      </w:pPr>
      <w:r>
        <w:rPr>
          <w:rFonts w:hint="eastAsia" w:ascii="宋体" w:hAnsi="宋体"/>
          <w:b/>
          <w:bCs/>
          <w:color w:val="000000"/>
          <w:sz w:val="18"/>
          <w:szCs w:val="18"/>
        </w:rPr>
        <w:t>甲方的权利与义务：</w:t>
      </w:r>
    </w:p>
    <w:p>
      <w:pPr>
        <w:autoSpaceDE w:val="0"/>
        <w:autoSpaceDN w:val="0"/>
        <w:adjustRightInd w:val="0"/>
        <w:spacing w:line="280" w:lineRule="exact"/>
        <w:jc w:val="left"/>
        <w:rPr>
          <w:rFonts w:hint="eastAsia" w:ascii="宋体" w:hAnsi="宋体"/>
          <w:color w:val="000000"/>
          <w:sz w:val="18"/>
          <w:szCs w:val="18"/>
        </w:rPr>
      </w:pPr>
      <w:r>
        <w:rPr>
          <w:rFonts w:hint="eastAsia" w:ascii="宋体" w:hAnsi="宋体"/>
          <w:color w:val="000000"/>
          <w:sz w:val="18"/>
          <w:szCs w:val="18"/>
        </w:rPr>
        <w:t>1、提供相关服务项目的技术资料：提供包括但不仅限于，项目环评报告书（表）、环评批复意见、环保“三同时”验收意见、自行监测方案、生产及环境状况以及其他相关资料，并保证其真实性。其中《环境自行检测项目技术服务项目内容清单》作为本合同的附件，乙方遵照执行，如政策调整，双方协商解决。</w:t>
      </w:r>
    </w:p>
    <w:p>
      <w:pPr>
        <w:autoSpaceDE w:val="0"/>
        <w:autoSpaceDN w:val="0"/>
        <w:adjustRightInd w:val="0"/>
        <w:spacing w:line="280" w:lineRule="exact"/>
        <w:jc w:val="left"/>
        <w:rPr>
          <w:rFonts w:hint="eastAsia" w:ascii="宋体" w:hAnsi="宋体" w:cs="宋体"/>
          <w:color w:val="000000"/>
          <w:sz w:val="18"/>
          <w:szCs w:val="18"/>
        </w:rPr>
      </w:pPr>
      <w:r>
        <w:rPr>
          <w:rFonts w:hint="eastAsia" w:ascii="宋体" w:hAnsi="宋体"/>
          <w:color w:val="000000"/>
          <w:sz w:val="18"/>
          <w:szCs w:val="18"/>
        </w:rPr>
        <w:t>2、</w:t>
      </w:r>
      <w:r>
        <w:rPr>
          <w:rFonts w:hint="eastAsia" w:ascii="宋体" w:hAnsi="宋体" w:cs="宋体"/>
          <w:color w:val="000000"/>
          <w:sz w:val="18"/>
          <w:szCs w:val="18"/>
        </w:rPr>
        <w:t>甲方有权核查乙方的检测机构资质证书和现场检测人员执业资格证书，</w:t>
      </w:r>
    </w:p>
    <w:p>
      <w:pPr>
        <w:spacing w:line="280" w:lineRule="exact"/>
        <w:rPr>
          <w:rFonts w:hint="eastAsia" w:ascii="宋体" w:hAnsi="宋体" w:cs="宋体"/>
          <w:color w:val="000000"/>
          <w:sz w:val="18"/>
          <w:szCs w:val="18"/>
        </w:rPr>
      </w:pPr>
      <w:r>
        <w:rPr>
          <w:rFonts w:hint="eastAsia" w:ascii="宋体" w:hAnsi="宋体" w:cs="宋体"/>
          <w:color w:val="000000"/>
          <w:sz w:val="18"/>
          <w:szCs w:val="18"/>
        </w:rPr>
        <w:t>3、乙方到场检测时，甲方应提供必要的协助。</w:t>
      </w:r>
    </w:p>
    <w:p>
      <w:pPr>
        <w:spacing w:line="280" w:lineRule="exact"/>
        <w:rPr>
          <w:rFonts w:hint="eastAsia" w:ascii="宋体" w:hAnsi="宋体" w:cs="宋体"/>
          <w:color w:val="000000"/>
          <w:sz w:val="18"/>
          <w:szCs w:val="18"/>
        </w:rPr>
      </w:pPr>
      <w:r>
        <w:rPr>
          <w:rFonts w:hint="eastAsia" w:ascii="宋体" w:hAnsi="宋体" w:cs="宋体"/>
          <w:color w:val="000000"/>
          <w:sz w:val="18"/>
          <w:szCs w:val="18"/>
        </w:rPr>
        <w:t>4、所委托检测项目的工程基本竣工后，甲方需监督核查完成情况。</w:t>
      </w:r>
    </w:p>
    <w:p>
      <w:pPr>
        <w:spacing w:line="280" w:lineRule="exact"/>
        <w:rPr>
          <w:rFonts w:hint="eastAsia" w:ascii="宋体" w:hAnsi="宋体" w:cs="宋体"/>
          <w:b/>
          <w:bCs/>
          <w:color w:val="000000"/>
          <w:sz w:val="18"/>
          <w:szCs w:val="18"/>
        </w:rPr>
      </w:pPr>
      <w:r>
        <w:rPr>
          <w:rFonts w:hint="eastAsia" w:ascii="宋体" w:hAnsi="宋体" w:cs="宋体"/>
          <w:b/>
          <w:bCs/>
          <w:color w:val="000000"/>
          <w:sz w:val="18"/>
          <w:szCs w:val="18"/>
        </w:rPr>
        <w:t>乙方的权利与义务：</w:t>
      </w:r>
    </w:p>
    <w:p>
      <w:pPr>
        <w:pStyle w:val="16"/>
        <w:numPr>
          <w:ilvl w:val="2"/>
          <w:numId w:val="0"/>
        </w:numPr>
        <w:spacing w:line="280" w:lineRule="exact"/>
        <w:rPr>
          <w:rFonts w:hint="eastAsia" w:hAnsi="宋体" w:cs="宋体"/>
          <w:color w:val="000000"/>
          <w:sz w:val="18"/>
          <w:szCs w:val="18"/>
        </w:rPr>
      </w:pPr>
      <w:r>
        <w:rPr>
          <w:rFonts w:hint="eastAsia" w:hAnsi="宋体" w:cs="宋体"/>
          <w:color w:val="000000"/>
          <w:sz w:val="18"/>
          <w:szCs w:val="18"/>
        </w:rPr>
        <w:t>1、乙方依据国家和行业要求，对检测结果出具真实、规范、有效的符合CMA认证的检验报告。并由经办人、项目负责人和技术负责人签名，并加盖印章。</w:t>
      </w:r>
      <w:r>
        <w:rPr>
          <w:rFonts w:hint="eastAsia" w:hAnsi="宋体" w:cs="宋体"/>
          <w:kern w:val="2"/>
          <w:sz w:val="18"/>
          <w:szCs w:val="18"/>
        </w:rPr>
        <w:t>乙方对出具的检测报告负有法律责任，检测报告必须实事求是，数据准确可靠。项目负责人为</w:t>
      </w:r>
      <w:r>
        <w:rPr>
          <w:rFonts w:hint="eastAsia" w:hAnsi="宋体" w:cs="宋体"/>
          <w:b/>
          <w:bCs/>
          <w:color w:val="000000"/>
          <w:sz w:val="18"/>
          <w:szCs w:val="18"/>
          <w:u w:val="single"/>
          <w:lang w:val="en-US" w:eastAsia="zh-CN"/>
        </w:rPr>
        <w:t xml:space="preserve">     </w:t>
      </w:r>
      <w:r>
        <w:rPr>
          <w:rFonts w:hint="eastAsia" w:hAnsi="宋体" w:cs="宋体"/>
          <w:color w:val="000000"/>
          <w:sz w:val="18"/>
          <w:szCs w:val="18"/>
        </w:rPr>
        <w:t>， 联系方式为</w:t>
      </w:r>
      <w:r>
        <w:rPr>
          <w:rFonts w:hint="eastAsia" w:hAnsi="宋体" w:cs="宋体"/>
          <w:b/>
          <w:bCs/>
          <w:color w:val="000000"/>
          <w:sz w:val="18"/>
          <w:szCs w:val="18"/>
          <w:u w:val="single"/>
          <w:lang w:val="en-US" w:eastAsia="zh-CN"/>
        </w:rPr>
        <w:t xml:space="preserve">      </w:t>
      </w:r>
      <w:r>
        <w:rPr>
          <w:rFonts w:hint="eastAsia" w:hAnsi="宋体" w:cs="宋体"/>
          <w:color w:val="000000"/>
          <w:sz w:val="18"/>
          <w:szCs w:val="18"/>
        </w:rPr>
        <w:t xml:space="preserve">。 </w:t>
      </w:r>
    </w:p>
    <w:p>
      <w:pPr>
        <w:spacing w:line="280" w:lineRule="exact"/>
        <w:rPr>
          <w:rFonts w:hint="eastAsia" w:ascii="宋体" w:hAnsi="宋体" w:cs="宋体"/>
          <w:color w:val="000000"/>
          <w:sz w:val="18"/>
          <w:szCs w:val="18"/>
        </w:rPr>
      </w:pPr>
      <w:r>
        <w:rPr>
          <w:rFonts w:hint="eastAsia" w:ascii="宋体" w:hAnsi="宋体" w:cs="宋体"/>
          <w:color w:val="000000"/>
          <w:sz w:val="18"/>
          <w:szCs w:val="18"/>
        </w:rPr>
        <w:t>2、具备专业检测的相应资质、资格，依照法律法规、技术标准和执业准则，乙方按照约定的检测时间和范围，开展环保自行检测项目技术服务活动，对检测质量负责。</w:t>
      </w:r>
    </w:p>
    <w:p>
      <w:pPr>
        <w:spacing w:line="280" w:lineRule="exact"/>
        <w:rPr>
          <w:rFonts w:hint="eastAsia" w:ascii="宋体" w:hAnsi="宋体" w:cs="宋体"/>
          <w:color w:val="000000"/>
          <w:sz w:val="18"/>
          <w:szCs w:val="18"/>
        </w:rPr>
      </w:pPr>
      <w:r>
        <w:rPr>
          <w:rFonts w:hint="eastAsia" w:ascii="宋体" w:hAnsi="宋体" w:cs="宋体"/>
          <w:color w:val="000000"/>
          <w:sz w:val="18"/>
          <w:szCs w:val="18"/>
        </w:rPr>
        <w:t>3、根据检测对象的具体情况，拟定具体的检测方案，明确项目负责人，至少指定2名以上执业人员负责实施，项目负责人与项目执行人员必须持有规定的有效证件入场检测，由甲方负责检查乙方的资质和进场人员的执业资格，乙方需无条件配合。执业人员检测时应当认真如实填写检测记录。</w:t>
      </w:r>
    </w:p>
    <w:p>
      <w:pPr>
        <w:pStyle w:val="14"/>
        <w:autoSpaceDE w:val="0"/>
        <w:autoSpaceDN w:val="0"/>
        <w:adjustRightInd w:val="0"/>
        <w:spacing w:line="280" w:lineRule="exact"/>
        <w:ind w:left="0" w:leftChars="0" w:firstLine="0" w:firstLineChars="0"/>
        <w:jc w:val="left"/>
        <w:rPr>
          <w:rFonts w:hint="eastAsia" w:ascii="宋体" w:hAnsi="宋体" w:cs="宋体"/>
          <w:sz w:val="18"/>
          <w:szCs w:val="18"/>
        </w:rPr>
      </w:pPr>
      <w:r>
        <w:rPr>
          <w:rFonts w:hint="eastAsia" w:ascii="宋体" w:hAnsi="宋体" w:cs="宋体"/>
          <w:color w:val="000000"/>
          <w:sz w:val="18"/>
          <w:szCs w:val="18"/>
        </w:rPr>
        <w:t>4、</w:t>
      </w:r>
      <w:r>
        <w:rPr>
          <w:rFonts w:hint="eastAsia" w:ascii="宋体" w:hAnsi="宋体" w:cs="宋体"/>
          <w:sz w:val="18"/>
          <w:szCs w:val="18"/>
        </w:rPr>
        <w:t>对于乙方提出的技术咨询意见，甲方需积极予以落实、整改，如甲方需要乙方对整改情况进行复查服务的，乙方须积极配合甲方进行整改复查，甲方应在整改完成后3日内告知乙方进行复查。如乙方在接到甲方通知3日内不进行响应复查，甲方有权要求乙方赔偿违约金，每延误一天复查，扣除年合同金额5‰/日；</w:t>
      </w:r>
    </w:p>
    <w:p>
      <w:pPr>
        <w:autoSpaceDE w:val="0"/>
        <w:autoSpaceDN w:val="0"/>
        <w:adjustRightInd w:val="0"/>
        <w:spacing w:line="280" w:lineRule="exact"/>
        <w:jc w:val="left"/>
        <w:rPr>
          <w:rFonts w:ascii="宋体" w:hAnsi="宋体" w:cs="宋体"/>
          <w:sz w:val="18"/>
          <w:szCs w:val="18"/>
        </w:rPr>
      </w:pPr>
      <w:r>
        <w:rPr>
          <w:rFonts w:hint="eastAsia" w:ascii="宋体" w:hAnsi="宋体" w:cs="宋体"/>
          <w:sz w:val="18"/>
          <w:szCs w:val="18"/>
        </w:rPr>
        <w:t>5、</w:t>
      </w:r>
      <w:r>
        <w:rPr>
          <w:rFonts w:hint="eastAsia" w:ascii="宋体" w:hAnsi="宋体"/>
          <w:color w:val="000000"/>
          <w:sz w:val="18"/>
          <w:szCs w:val="18"/>
        </w:rPr>
        <w:t>乙方设专人配合甲方的工作，根据甲方提供的相关登报平台网址、用户名、密码等，同时及时将上级主管部门的填报要求通知甲方。</w:t>
      </w:r>
    </w:p>
    <w:p>
      <w:pPr>
        <w:spacing w:line="280" w:lineRule="exact"/>
        <w:rPr>
          <w:rFonts w:hint="eastAsia" w:ascii="宋体" w:hAnsi="宋体"/>
          <w:b/>
          <w:bCs/>
          <w:sz w:val="18"/>
          <w:szCs w:val="18"/>
        </w:rPr>
      </w:pPr>
      <w:r>
        <w:rPr>
          <w:rFonts w:hint="eastAsia" w:ascii="宋体" w:hAnsi="宋体"/>
          <w:b/>
          <w:bCs/>
          <w:sz w:val="18"/>
          <w:szCs w:val="18"/>
        </w:rPr>
        <w:t>第四条  质量标准</w:t>
      </w:r>
    </w:p>
    <w:p>
      <w:pPr>
        <w:spacing w:line="280" w:lineRule="exact"/>
        <w:rPr>
          <w:rFonts w:hint="eastAsia" w:ascii="宋体" w:hAnsi="宋体"/>
          <w:sz w:val="18"/>
          <w:szCs w:val="18"/>
        </w:rPr>
      </w:pPr>
      <w:r>
        <w:rPr>
          <w:rFonts w:hint="eastAsia" w:ascii="宋体" w:hAnsi="宋体"/>
          <w:sz w:val="18"/>
          <w:szCs w:val="18"/>
        </w:rPr>
        <w:t>1、严格按照现行国家与行业标准执行此项目。</w:t>
      </w:r>
    </w:p>
    <w:p>
      <w:pPr>
        <w:spacing w:line="280" w:lineRule="exact"/>
        <w:rPr>
          <w:rFonts w:hint="eastAsia" w:ascii="宋体" w:hAnsi="宋体"/>
          <w:sz w:val="18"/>
          <w:szCs w:val="18"/>
        </w:rPr>
      </w:pPr>
      <w:r>
        <w:rPr>
          <w:rFonts w:hint="eastAsia" w:ascii="宋体" w:hAnsi="宋体"/>
          <w:sz w:val="18"/>
          <w:szCs w:val="18"/>
        </w:rPr>
        <w:t>2、乙方应遵从合同条款的规定，细心认真地在规定时间内完成全部合同任务，在规定的保证期内，如果乙方完成的检测工作出现缺陷，因此造成的损失和上级处罚由乙方负责全部赔偿责任，且甲方有权追究乙方赔偿年检测费的50%的违约金.</w:t>
      </w:r>
    </w:p>
    <w:p>
      <w:pPr>
        <w:spacing w:line="280" w:lineRule="exact"/>
        <w:rPr>
          <w:rFonts w:hint="eastAsia" w:ascii="宋体" w:hAnsi="宋体"/>
          <w:sz w:val="18"/>
          <w:szCs w:val="18"/>
        </w:rPr>
      </w:pPr>
      <w:r>
        <w:rPr>
          <w:rFonts w:hint="eastAsia" w:ascii="宋体" w:hAnsi="宋体"/>
          <w:sz w:val="18"/>
          <w:szCs w:val="18"/>
        </w:rPr>
        <w:t>3、乙方应对甲方由于采用乙方的服务，或乙方人员的失误而对甲方造成的直接或造成第三者的财产损失负责。</w:t>
      </w:r>
    </w:p>
    <w:p>
      <w:pPr>
        <w:spacing w:line="280" w:lineRule="exact"/>
      </w:pPr>
      <w:r>
        <w:rPr>
          <w:rFonts w:hint="eastAsia" w:ascii="宋体" w:hAnsi="宋体"/>
          <w:sz w:val="18"/>
          <w:szCs w:val="18"/>
        </w:rPr>
        <w:t>4、乙方遵守安全操作规程的规定，遵守甲方有关安全要求.因此项目造成的一切安全事故，与甲方无关。</w:t>
      </w:r>
    </w:p>
    <w:p>
      <w:pPr>
        <w:autoSpaceDE w:val="0"/>
        <w:autoSpaceDN w:val="0"/>
        <w:adjustRightInd w:val="0"/>
        <w:spacing w:line="280" w:lineRule="exact"/>
        <w:jc w:val="left"/>
        <w:rPr>
          <w:rFonts w:hint="eastAsia" w:ascii="宋体" w:hAnsi="宋体"/>
          <w:b/>
          <w:bCs/>
          <w:color w:val="000000"/>
          <w:sz w:val="18"/>
          <w:szCs w:val="18"/>
        </w:rPr>
      </w:pPr>
      <w:r>
        <w:rPr>
          <w:rFonts w:hint="eastAsia" w:ascii="宋体" w:hAnsi="宋体"/>
          <w:b/>
          <w:bCs/>
          <w:color w:val="000000"/>
          <w:sz w:val="18"/>
          <w:szCs w:val="18"/>
        </w:rPr>
        <w:t>第五条  保密条款</w:t>
      </w:r>
    </w:p>
    <w:p>
      <w:pPr>
        <w:autoSpaceDE w:val="0"/>
        <w:autoSpaceDN w:val="0"/>
        <w:adjustRightInd w:val="0"/>
        <w:spacing w:line="280" w:lineRule="exact"/>
        <w:jc w:val="left"/>
        <w:rPr>
          <w:rFonts w:hint="eastAsia" w:ascii="宋体" w:hAnsi="宋体"/>
          <w:color w:val="000000"/>
          <w:sz w:val="18"/>
          <w:szCs w:val="18"/>
        </w:rPr>
      </w:pPr>
      <w:r>
        <w:rPr>
          <w:rFonts w:hint="eastAsia" w:ascii="宋体" w:hAnsi="宋体"/>
          <w:color w:val="000000"/>
          <w:sz w:val="18"/>
          <w:szCs w:val="18"/>
        </w:rPr>
        <w:t>双方当事人应对下列技术资料承担保密义务：</w:t>
      </w:r>
    </w:p>
    <w:p>
      <w:pPr>
        <w:autoSpaceDE w:val="0"/>
        <w:autoSpaceDN w:val="0"/>
        <w:adjustRightInd w:val="0"/>
        <w:spacing w:line="280" w:lineRule="exact"/>
        <w:jc w:val="left"/>
        <w:rPr>
          <w:rFonts w:hint="eastAsia" w:ascii="宋体" w:hAnsi="宋体"/>
          <w:color w:val="000000"/>
          <w:sz w:val="18"/>
          <w:szCs w:val="18"/>
        </w:rPr>
      </w:pPr>
      <w:r>
        <w:rPr>
          <w:rFonts w:hint="eastAsia" w:ascii="宋体" w:hAnsi="宋体"/>
          <w:color w:val="000000"/>
          <w:sz w:val="18"/>
          <w:szCs w:val="18"/>
        </w:rPr>
        <w:t>1、甲方提供的各类技术、经济、环境指标及技术方案；</w:t>
      </w:r>
    </w:p>
    <w:p>
      <w:pPr>
        <w:autoSpaceDE w:val="0"/>
        <w:autoSpaceDN w:val="0"/>
        <w:adjustRightInd w:val="0"/>
        <w:spacing w:line="280" w:lineRule="exact"/>
        <w:jc w:val="left"/>
        <w:rPr>
          <w:rFonts w:hint="eastAsia" w:ascii="宋体" w:hAnsi="宋体"/>
          <w:color w:val="000000"/>
          <w:sz w:val="18"/>
          <w:szCs w:val="18"/>
        </w:rPr>
      </w:pPr>
      <w:r>
        <w:rPr>
          <w:rFonts w:hint="eastAsia" w:ascii="宋体" w:hAnsi="宋体"/>
          <w:color w:val="000000"/>
          <w:sz w:val="18"/>
          <w:szCs w:val="18"/>
        </w:rPr>
        <w:t>2、双方合同金额、乙方技术服务资料，工程师联系方式及其它相关资料；</w:t>
      </w:r>
    </w:p>
    <w:p>
      <w:pPr>
        <w:autoSpaceDE w:val="0"/>
        <w:autoSpaceDN w:val="0"/>
        <w:adjustRightInd w:val="0"/>
        <w:spacing w:line="280" w:lineRule="exact"/>
        <w:jc w:val="left"/>
        <w:rPr>
          <w:rFonts w:hint="eastAsia" w:ascii="宋体" w:hAnsi="宋体"/>
          <w:color w:val="000000"/>
          <w:sz w:val="18"/>
          <w:szCs w:val="18"/>
        </w:rPr>
      </w:pPr>
      <w:r>
        <w:rPr>
          <w:rFonts w:hint="eastAsia" w:ascii="宋体" w:hAnsi="宋体"/>
          <w:color w:val="000000"/>
          <w:sz w:val="18"/>
          <w:szCs w:val="18"/>
        </w:rPr>
        <w:t>保密期限：永久。</w:t>
      </w:r>
    </w:p>
    <w:p>
      <w:pPr>
        <w:autoSpaceDE w:val="0"/>
        <w:autoSpaceDN w:val="0"/>
        <w:adjustRightInd w:val="0"/>
        <w:spacing w:line="280" w:lineRule="exact"/>
        <w:jc w:val="left"/>
        <w:rPr>
          <w:rFonts w:hint="eastAsia" w:ascii="宋体" w:hAnsi="宋体"/>
          <w:b/>
          <w:bCs/>
          <w:color w:val="000000"/>
          <w:sz w:val="18"/>
          <w:szCs w:val="18"/>
        </w:rPr>
      </w:pPr>
      <w:r>
        <w:rPr>
          <w:rFonts w:hint="eastAsia" w:ascii="宋体" w:hAnsi="宋体"/>
          <w:b/>
          <w:bCs/>
          <w:color w:val="000000"/>
          <w:sz w:val="18"/>
          <w:szCs w:val="18"/>
        </w:rPr>
        <w:t>第六条 违约责任</w:t>
      </w:r>
    </w:p>
    <w:p>
      <w:pPr>
        <w:autoSpaceDE w:val="0"/>
        <w:autoSpaceDN w:val="0"/>
        <w:adjustRightInd w:val="0"/>
        <w:spacing w:line="280" w:lineRule="exact"/>
        <w:jc w:val="left"/>
        <w:rPr>
          <w:rFonts w:hint="eastAsia" w:ascii="宋体" w:hAnsi="宋体"/>
          <w:color w:val="000000"/>
          <w:sz w:val="18"/>
          <w:szCs w:val="18"/>
        </w:rPr>
      </w:pPr>
      <w:r>
        <w:rPr>
          <w:rFonts w:hint="eastAsia" w:ascii="宋体" w:hAnsi="宋体"/>
          <w:color w:val="000000"/>
          <w:sz w:val="18"/>
          <w:szCs w:val="18"/>
        </w:rPr>
        <w:t>1、双方确定，出现发生不可抗力，致使本合同的履行成为不必要或不可能的，可以解除本合同；</w:t>
      </w:r>
    </w:p>
    <w:p>
      <w:pPr>
        <w:autoSpaceDE w:val="0"/>
        <w:autoSpaceDN w:val="0"/>
        <w:adjustRightInd w:val="0"/>
        <w:spacing w:line="280" w:lineRule="exact"/>
        <w:jc w:val="left"/>
        <w:rPr>
          <w:rFonts w:hint="eastAsia" w:ascii="宋体" w:hAnsi="宋体"/>
          <w:color w:val="000000"/>
          <w:sz w:val="18"/>
          <w:szCs w:val="18"/>
        </w:rPr>
      </w:pPr>
      <w:r>
        <w:rPr>
          <w:rFonts w:hint="eastAsia" w:ascii="宋体" w:hAnsi="宋体"/>
          <w:color w:val="000000"/>
          <w:sz w:val="18"/>
          <w:szCs w:val="18"/>
        </w:rPr>
        <w:t>2、乙方须按照甲方提交的正式的自行监测方案内规定的项目、频次、点位等内容进行监测，如满足各类检测条件后1周内不开展检测工作，甲方有权解除合同，乙方不按时检测并上传数据，或数据出现误差不及时和甲方共同解决问题，导致甲方被环保部门处罚，由乙方承担全部赔偿责任，且甲方有权让乙方赔偿年服务费用的50%的违约金。</w:t>
      </w:r>
    </w:p>
    <w:p>
      <w:pPr>
        <w:autoSpaceDE w:val="0"/>
        <w:autoSpaceDN w:val="0"/>
        <w:adjustRightInd w:val="0"/>
        <w:spacing w:line="280" w:lineRule="exact"/>
        <w:jc w:val="left"/>
        <w:rPr>
          <w:rFonts w:ascii="宋体" w:hAnsi="宋体"/>
          <w:b/>
          <w:bCs/>
          <w:sz w:val="18"/>
          <w:szCs w:val="18"/>
        </w:rPr>
      </w:pPr>
      <w:r>
        <w:rPr>
          <w:rFonts w:hint="eastAsia" w:ascii="宋体" w:hAnsi="宋体"/>
          <w:b/>
          <w:bCs/>
          <w:color w:val="000000"/>
          <w:sz w:val="18"/>
          <w:szCs w:val="18"/>
        </w:rPr>
        <w:t>第七条 合同的变更和终止</w:t>
      </w:r>
    </w:p>
    <w:p>
      <w:pPr>
        <w:autoSpaceDE w:val="0"/>
        <w:autoSpaceDN w:val="0"/>
        <w:adjustRightInd w:val="0"/>
        <w:spacing w:line="280" w:lineRule="exact"/>
        <w:jc w:val="left"/>
        <w:rPr>
          <w:rFonts w:ascii="宋体" w:hAnsi="宋体"/>
          <w:sz w:val="18"/>
          <w:szCs w:val="18"/>
        </w:rPr>
      </w:pPr>
      <w:r>
        <w:rPr>
          <w:rFonts w:hint="eastAsia" w:ascii="宋体" w:hAnsi="宋体"/>
          <w:sz w:val="18"/>
          <w:szCs w:val="18"/>
        </w:rPr>
        <w:t>1、除《政府采购法》第50条第二款规定的情形外，本合同一经签订，甲乙双方不得擅自变更、中止或终止合同。</w:t>
      </w:r>
    </w:p>
    <w:p>
      <w:pPr>
        <w:autoSpaceDE w:val="0"/>
        <w:autoSpaceDN w:val="0"/>
        <w:adjustRightInd w:val="0"/>
        <w:spacing w:line="280" w:lineRule="exact"/>
        <w:jc w:val="left"/>
        <w:rPr>
          <w:rFonts w:hint="eastAsia" w:ascii="宋体" w:hAnsi="宋体"/>
          <w:sz w:val="18"/>
          <w:szCs w:val="18"/>
        </w:rPr>
      </w:pPr>
      <w:r>
        <w:rPr>
          <w:rFonts w:hint="eastAsia" w:ascii="宋体" w:hAnsi="宋体"/>
          <w:sz w:val="18"/>
          <w:szCs w:val="18"/>
        </w:rPr>
        <w:t>2、除发生法律规定的不能预见、不能避免并不能克服的客观情况外，甲乙双方不得放弃或拒绝履行合同。乙方放弃或拒绝履行合同，按合同总价的30%承担违约责任，同时将被列入我院采购黑名单。</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第八条  合同的转让</w:t>
      </w:r>
    </w:p>
    <w:p>
      <w:pPr>
        <w:autoSpaceDE w:val="0"/>
        <w:autoSpaceDN w:val="0"/>
        <w:adjustRightInd w:val="0"/>
        <w:spacing w:line="280" w:lineRule="exact"/>
        <w:jc w:val="left"/>
        <w:rPr>
          <w:rFonts w:ascii="宋体" w:hAnsi="宋体"/>
          <w:sz w:val="18"/>
          <w:szCs w:val="18"/>
        </w:rPr>
      </w:pPr>
      <w:r>
        <w:rPr>
          <w:rFonts w:hint="eastAsia" w:ascii="宋体" w:hAnsi="宋体"/>
          <w:sz w:val="18"/>
          <w:szCs w:val="18"/>
        </w:rPr>
        <w:t>乙方不得擅自部分或全部转让其应履行的合同义务。</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 xml:space="preserve">第九条  争议的解决  </w:t>
      </w:r>
    </w:p>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 xml:space="preserve">第十条  诚实信用 </w:t>
      </w:r>
    </w:p>
    <w:p>
      <w:pPr>
        <w:autoSpaceDE w:val="0"/>
        <w:autoSpaceDN w:val="0"/>
        <w:adjustRightInd w:val="0"/>
        <w:spacing w:line="280" w:lineRule="exact"/>
        <w:jc w:val="left"/>
        <w:rPr>
          <w:rFonts w:hint="eastAsia" w:ascii="宋体" w:hAnsi="宋体"/>
          <w:sz w:val="18"/>
          <w:szCs w:val="18"/>
        </w:rPr>
      </w:pPr>
      <w:r>
        <w:rPr>
          <w:rFonts w:hint="eastAsia" w:ascii="宋体" w:hAnsi="宋体"/>
          <w:sz w:val="18"/>
          <w:szCs w:val="18"/>
        </w:rPr>
        <w:t>1、乙方应诚实信用，严格按照招标文件要求和投标承诺履行合同，不向甲方进行商业贿赂或者提供不正当利益。凡乙方有诚信档案不良记录的，甲方可无条件终止合同。</w:t>
      </w:r>
    </w:p>
    <w:p>
      <w:pPr>
        <w:autoSpaceDE w:val="0"/>
        <w:autoSpaceDN w:val="0"/>
        <w:adjustRightInd w:val="0"/>
        <w:spacing w:line="280" w:lineRule="exact"/>
        <w:jc w:val="left"/>
        <w:rPr>
          <w:rFonts w:ascii="宋体" w:hAnsi="宋体"/>
          <w:sz w:val="18"/>
          <w:szCs w:val="18"/>
        </w:rPr>
      </w:pPr>
      <w:r>
        <w:rPr>
          <w:rFonts w:hint="eastAsia" w:ascii="宋体" w:hAnsi="宋体"/>
          <w:sz w:val="18"/>
          <w:szCs w:val="18"/>
        </w:rPr>
        <w:t>2、乙方应加强对其指定的销售代表等人员的管理，如乙方出现商业贿赂等不良行为将被记入诚信档案，一经发现，甲方有权无条件终止合同，并向有关部门上报。</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 xml:space="preserve">第十一条  合同生效及其他 </w:t>
      </w:r>
    </w:p>
    <w:p>
      <w:pPr>
        <w:autoSpaceDE w:val="0"/>
        <w:autoSpaceDN w:val="0"/>
        <w:adjustRightInd w:val="0"/>
        <w:spacing w:line="280" w:lineRule="exact"/>
        <w:jc w:val="left"/>
        <w:rPr>
          <w:rFonts w:ascii="宋体" w:hAnsi="宋体"/>
          <w:sz w:val="18"/>
          <w:szCs w:val="18"/>
        </w:rPr>
      </w:pPr>
      <w:r>
        <w:rPr>
          <w:rFonts w:hint="eastAsia" w:ascii="宋体" w:hAnsi="宋体"/>
          <w:sz w:val="18"/>
          <w:szCs w:val="18"/>
        </w:rPr>
        <w:t>1、本合同经双方法定代表人或授权委托代表人签字或签章并加盖单位公章后生效。</w:t>
      </w:r>
    </w:p>
    <w:p>
      <w:pPr>
        <w:autoSpaceDE w:val="0"/>
        <w:autoSpaceDN w:val="0"/>
        <w:adjustRightInd w:val="0"/>
        <w:spacing w:line="280" w:lineRule="exact"/>
        <w:jc w:val="left"/>
        <w:rPr>
          <w:rFonts w:ascii="宋体" w:hAnsi="宋体"/>
          <w:sz w:val="18"/>
          <w:szCs w:val="18"/>
        </w:rPr>
      </w:pPr>
      <w:r>
        <w:rPr>
          <w:rFonts w:hint="eastAsia" w:ascii="宋体" w:hAnsi="宋体"/>
          <w:sz w:val="18"/>
          <w:szCs w:val="18"/>
        </w:rPr>
        <w:t>2、本合同正本一式叁份，具有同等法律效力，甲方执贰份，乙方执壹份。</w:t>
      </w:r>
    </w:p>
    <w:p>
      <w:pPr>
        <w:autoSpaceDE w:val="0"/>
        <w:autoSpaceDN w:val="0"/>
        <w:adjustRightInd w:val="0"/>
        <w:spacing w:line="280" w:lineRule="exact"/>
        <w:jc w:val="left"/>
        <w:rPr>
          <w:rFonts w:hint="eastAsia" w:ascii="宋体" w:hAnsi="宋体"/>
          <w:sz w:val="18"/>
          <w:szCs w:val="18"/>
        </w:rPr>
      </w:pPr>
      <w:r>
        <w:rPr>
          <w:rFonts w:hint="eastAsia" w:ascii="宋体" w:hAnsi="宋体"/>
          <w:sz w:val="18"/>
          <w:szCs w:val="18"/>
        </w:rPr>
        <w:t>3、本合同未尽事宜，遵照《民法典》有关条文执行。</w:t>
      </w:r>
    </w:p>
    <w:p>
      <w:pPr>
        <w:autoSpaceDE w:val="0"/>
        <w:autoSpaceDN w:val="0"/>
        <w:adjustRightInd w:val="0"/>
        <w:spacing w:line="280" w:lineRule="exact"/>
        <w:ind w:firstLine="270" w:firstLineChars="150"/>
        <w:jc w:val="left"/>
        <w:rPr>
          <w:rFonts w:hint="eastAsia" w:ascii="宋体" w:hAnsi="宋体"/>
          <w:color w:val="000000"/>
          <w:sz w:val="18"/>
          <w:szCs w:val="18"/>
        </w:rPr>
      </w:pPr>
      <w:r>
        <w:rPr>
          <w:rFonts w:hint="eastAsia" w:ascii="宋体" w:hAnsi="宋体"/>
          <w:sz w:val="18"/>
          <w:szCs w:val="18"/>
        </w:rPr>
        <w:t>（以下无正文）</w:t>
      </w:r>
    </w:p>
    <w:p>
      <w:pPr>
        <w:spacing w:line="280" w:lineRule="exact"/>
        <w:rPr>
          <w:rFonts w:hint="eastAsia"/>
          <w:sz w:val="18"/>
          <w:szCs w:val="18"/>
        </w:rPr>
      </w:pPr>
      <w:r>
        <w:rPr>
          <w:rFonts w:hint="eastAsia"/>
          <w:sz w:val="18"/>
          <w:szCs w:val="18"/>
        </w:rPr>
        <w:t>甲</w:t>
      </w:r>
      <w:r>
        <w:rPr>
          <w:sz w:val="18"/>
          <w:szCs w:val="18"/>
        </w:rPr>
        <w:t xml:space="preserve">    </w:t>
      </w:r>
      <w:r>
        <w:rPr>
          <w:rFonts w:hint="eastAsia"/>
          <w:sz w:val="18"/>
          <w:szCs w:val="18"/>
        </w:rPr>
        <w:t>方：（盖章）南京市溧水区人民医院</w:t>
      </w:r>
      <w:r>
        <w:rPr>
          <w:sz w:val="18"/>
          <w:szCs w:val="18"/>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乙</w:t>
      </w:r>
      <w:r>
        <w:rPr>
          <w:sz w:val="18"/>
          <w:szCs w:val="18"/>
        </w:rPr>
        <w:t xml:space="preserve">    </w:t>
      </w:r>
      <w:r>
        <w:rPr>
          <w:rFonts w:hint="eastAsia"/>
          <w:sz w:val="18"/>
          <w:szCs w:val="18"/>
        </w:rPr>
        <w:t>方：（盖章）</w:t>
      </w:r>
    </w:p>
    <w:p>
      <w:pPr>
        <w:spacing w:line="280" w:lineRule="exact"/>
        <w:rPr>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r>
        <w:rPr>
          <w:sz w:val="18"/>
          <w:szCs w:val="18"/>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代</w:t>
      </w:r>
      <w:r>
        <w:rPr>
          <w:sz w:val="18"/>
          <w:szCs w:val="18"/>
        </w:rPr>
        <w:t xml:space="preserve"> </w:t>
      </w:r>
      <w:r>
        <w:rPr>
          <w:rFonts w:hint="eastAsia"/>
          <w:sz w:val="18"/>
          <w:szCs w:val="18"/>
        </w:rPr>
        <w:t>表</w:t>
      </w:r>
      <w:r>
        <w:rPr>
          <w:sz w:val="18"/>
          <w:szCs w:val="18"/>
        </w:rPr>
        <w:t xml:space="preserve"> </w:t>
      </w:r>
      <w:r>
        <w:rPr>
          <w:rFonts w:hint="eastAsia"/>
          <w:sz w:val="18"/>
          <w:szCs w:val="18"/>
        </w:rPr>
        <w:t>人：</w:t>
      </w:r>
    </w:p>
    <w:p>
      <w:pPr>
        <w:spacing w:line="280" w:lineRule="exact"/>
        <w:rPr>
          <w:rFonts w:hint="eastAsia"/>
          <w:sz w:val="18"/>
          <w:szCs w:val="18"/>
          <w:lang w:val="en-US" w:eastAsia="zh-CN"/>
        </w:rPr>
      </w:pPr>
      <w:r>
        <w:rPr>
          <w:rFonts w:hint="eastAsia"/>
          <w:sz w:val="18"/>
          <w:szCs w:val="18"/>
        </w:rPr>
        <w:t xml:space="preserve">纳税人识别号：12320124426070487L                          </w:t>
      </w:r>
      <w:r>
        <w:rPr>
          <w:rFonts w:hint="eastAsia"/>
          <w:sz w:val="18"/>
          <w:szCs w:val="18"/>
          <w:lang w:val="en-US" w:eastAsia="zh-CN"/>
        </w:rPr>
        <w:t xml:space="preserve"> </w:t>
      </w:r>
      <w:r>
        <w:rPr>
          <w:rFonts w:hint="eastAsia"/>
          <w:sz w:val="18"/>
          <w:szCs w:val="18"/>
        </w:rPr>
        <w:t xml:space="preserve">   纳税人识别号：</w:t>
      </w:r>
      <w:r>
        <w:rPr>
          <w:rFonts w:hint="eastAsia"/>
          <w:sz w:val="18"/>
          <w:szCs w:val="18"/>
          <w:lang w:val="en-US" w:eastAsia="zh-CN"/>
        </w:rPr>
        <w:t xml:space="preserve"> </w:t>
      </w:r>
    </w:p>
    <w:p>
      <w:pPr>
        <w:spacing w:line="280" w:lineRule="exact"/>
        <w:rPr>
          <w:rFonts w:hint="eastAsia"/>
          <w:sz w:val="18"/>
          <w:szCs w:val="18"/>
        </w:rPr>
      </w:pPr>
      <w:r>
        <w:rPr>
          <w:rFonts w:hint="eastAsia"/>
          <w:sz w:val="18"/>
          <w:szCs w:val="18"/>
        </w:rPr>
        <w:t>开 户 行： 建行溧水支行                                       开 户 行：</w:t>
      </w:r>
    </w:p>
    <w:p>
      <w:pPr>
        <w:spacing w:line="280" w:lineRule="exact"/>
        <w:rPr>
          <w:rFonts w:hint="eastAsia"/>
          <w:sz w:val="18"/>
          <w:szCs w:val="18"/>
        </w:rPr>
      </w:pPr>
      <w:r>
        <w:rPr>
          <w:rFonts w:hint="eastAsia"/>
          <w:sz w:val="18"/>
          <w:szCs w:val="18"/>
        </w:rPr>
        <w:t>账    号：32001596336050001892                                账    号：</w:t>
      </w:r>
    </w:p>
    <w:p>
      <w:pPr>
        <w:spacing w:line="280" w:lineRule="exact"/>
        <w:rPr>
          <w:rFonts w:hint="eastAsia"/>
          <w:sz w:val="18"/>
          <w:szCs w:val="18"/>
        </w:rPr>
      </w:pPr>
      <w:r>
        <w:rPr>
          <w:rFonts w:hint="eastAsia"/>
          <w:sz w:val="18"/>
          <w:szCs w:val="18"/>
        </w:rPr>
        <w:t>电</w:t>
      </w:r>
      <w:r>
        <w:rPr>
          <w:sz w:val="18"/>
          <w:szCs w:val="18"/>
        </w:rPr>
        <w:t xml:space="preserve">    </w:t>
      </w:r>
      <w:r>
        <w:rPr>
          <w:rFonts w:hint="eastAsia"/>
          <w:sz w:val="18"/>
          <w:szCs w:val="18"/>
        </w:rPr>
        <w:t>话：</w:t>
      </w:r>
      <w:r>
        <w:rPr>
          <w:sz w:val="18"/>
          <w:szCs w:val="18"/>
        </w:rPr>
        <w:t xml:space="preserve">                                      </w:t>
      </w:r>
      <w:r>
        <w:rPr>
          <w:rFonts w:hint="eastAsia"/>
          <w:sz w:val="18"/>
          <w:szCs w:val="18"/>
        </w:rPr>
        <w:t xml:space="preserve">              电</w:t>
      </w:r>
      <w:r>
        <w:rPr>
          <w:sz w:val="18"/>
          <w:szCs w:val="18"/>
        </w:rPr>
        <w:t xml:space="preserve">    </w:t>
      </w:r>
      <w:r>
        <w:rPr>
          <w:rFonts w:hint="eastAsia"/>
          <w:sz w:val="18"/>
          <w:szCs w:val="18"/>
        </w:rPr>
        <w:t>话：</w:t>
      </w:r>
    </w:p>
    <w:p>
      <w:pPr>
        <w:spacing w:line="280" w:lineRule="exact"/>
        <w:rPr>
          <w:rFonts w:hint="eastAsia" w:asciiTheme="minorEastAsia" w:hAnsiTheme="minorEastAsia" w:eastAsiaTheme="minorEastAsia" w:cstheme="minorEastAsia"/>
          <w:b/>
          <w:color w:val="000000"/>
          <w:sz w:val="24"/>
          <w:szCs w:val="24"/>
          <w:lang w:val="en-US" w:eastAsia="zh-CN"/>
        </w:rPr>
      </w:pPr>
      <w:r>
        <w:rPr>
          <w:rFonts w:hint="eastAsia" w:ascii="宋体" w:hAnsi="宋体"/>
          <w:sz w:val="18"/>
          <w:szCs w:val="18"/>
        </w:rPr>
        <w:t>签约日期：                                                    签约日期：</w:t>
      </w:r>
      <w:r>
        <w:rPr>
          <w:rFonts w:hint="eastAsia" w:ascii="宋体" w:hAnsi="宋体"/>
          <w:sz w:val="18"/>
          <w:szCs w:val="18"/>
          <w:lang w:val="en-US" w:eastAsia="zh-CN"/>
        </w:rPr>
        <w:t xml:space="preserve">   </w:t>
      </w:r>
      <w:r>
        <w:rPr>
          <w:rFonts w:hint="eastAsia" w:ascii="宋体" w:hAnsi="宋体"/>
          <w:sz w:val="18"/>
          <w:szCs w:val="18"/>
        </w:rPr>
        <w:t>年</w:t>
      </w:r>
      <w:r>
        <w:rPr>
          <w:rFonts w:hint="eastAsia" w:ascii="宋体" w:hAnsi="宋体"/>
          <w:sz w:val="18"/>
          <w:szCs w:val="18"/>
          <w:lang w:val="en-US" w:eastAsia="zh-CN"/>
        </w:rPr>
        <w:t xml:space="preserve">  </w:t>
      </w:r>
      <w:r>
        <w:rPr>
          <w:rFonts w:hint="eastAsia" w:ascii="宋体" w:hAnsi="宋体"/>
          <w:sz w:val="18"/>
          <w:szCs w:val="18"/>
        </w:rPr>
        <w:t>月</w:t>
      </w:r>
      <w:r>
        <w:rPr>
          <w:rFonts w:hint="eastAsia" w:ascii="宋体" w:hAnsi="宋体"/>
          <w:sz w:val="18"/>
          <w:szCs w:val="18"/>
          <w:lang w:val="en-US" w:eastAsia="zh-CN"/>
        </w:rPr>
        <w:t xml:space="preserve">  </w:t>
      </w:r>
      <w:r>
        <w:rPr>
          <w:rFonts w:hint="eastAsia" w:asciiTheme="minorEastAsia" w:hAnsiTheme="minorEastAsia" w:eastAsiaTheme="minorEastAsia" w:cstheme="minorEastAsia"/>
          <w:b/>
          <w:color w:val="000000"/>
          <w:sz w:val="24"/>
          <w:szCs w:val="24"/>
          <w:lang w:val="en-US" w:eastAsia="zh-CN"/>
        </w:rPr>
        <w:t xml:space="preserve"> </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b/>
          <w:color w:val="000000"/>
          <w:sz w:val="24"/>
          <w:szCs w:val="24"/>
          <w:lang w:val="en-US" w:eastAsia="zh-CN"/>
        </w:rPr>
      </w:pP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b/>
          <w:color w:val="000000"/>
          <w:sz w:val="24"/>
          <w:szCs w:val="24"/>
          <w:lang w:val="en-US" w:eastAsia="zh-CN"/>
        </w:rPr>
      </w:pPr>
    </w:p>
    <w:p>
      <w:pPr>
        <w:pageBreakBefore w:val="0"/>
        <w:kinsoku/>
        <w:wordWrap/>
        <w:overflowPunct/>
        <w:topLinePunct w:val="0"/>
        <w:bidi w:val="0"/>
        <w:spacing w:line="360" w:lineRule="exact"/>
        <w:jc w:val="center"/>
        <w:textAlignment w:val="auto"/>
        <w:rPr>
          <w:rFonts w:hint="eastAsia" w:ascii="黑体" w:eastAsia="黑体" w:cs="黑体"/>
          <w:color w:val="000000"/>
          <w:sz w:val="28"/>
          <w:szCs w:val="28"/>
          <w:lang w:val="zh-CN"/>
        </w:rPr>
      </w:pPr>
      <w:r>
        <w:rPr>
          <w:rFonts w:hint="eastAsia" w:asciiTheme="minorEastAsia" w:hAnsiTheme="minorEastAsia" w:eastAsiaTheme="minorEastAsia" w:cstheme="minorEastAsia"/>
          <w:b/>
          <w:color w:val="000000"/>
          <w:sz w:val="24"/>
          <w:szCs w:val="24"/>
          <w:lang w:val="en-US" w:eastAsia="zh-CN"/>
        </w:rPr>
        <w:t xml:space="preserve">    </w:t>
      </w:r>
      <w:r>
        <w:rPr>
          <w:rFonts w:hint="eastAsia" w:ascii="黑体" w:eastAsia="黑体" w:cs="黑体"/>
          <w:color w:val="000000"/>
          <w:sz w:val="28"/>
          <w:szCs w:val="28"/>
          <w:lang w:val="zh-CN" w:bidi="ar"/>
        </w:rPr>
        <w:t xml:space="preserve">第五章 </w:t>
      </w:r>
      <w:r>
        <w:rPr>
          <w:rFonts w:hint="eastAsia" w:ascii="黑体" w:eastAsia="黑体" w:cs="黑体"/>
          <w:color w:val="000000"/>
          <w:sz w:val="28"/>
          <w:szCs w:val="28"/>
          <w:lang w:bidi="ar"/>
        </w:rPr>
        <w:t xml:space="preserve"> </w:t>
      </w:r>
      <w:r>
        <w:rPr>
          <w:rFonts w:hint="eastAsia" w:ascii="黑体" w:eastAsia="黑体" w:cs="黑体"/>
          <w:color w:val="000000"/>
          <w:sz w:val="28"/>
          <w:szCs w:val="28"/>
          <w:lang w:val="zh-CN" w:bidi="ar"/>
        </w:rPr>
        <w:t>竞争性谈判文件格式及附件</w:t>
      </w:r>
    </w:p>
    <w:p>
      <w:pPr>
        <w:pageBreakBefore w:val="0"/>
        <w:numPr>
          <w:ilvl w:val="0"/>
          <w:numId w:val="0"/>
        </w:numPr>
        <w:kinsoku/>
        <w:wordWrap/>
        <w:overflowPunct/>
        <w:topLinePunct w:val="0"/>
        <w:autoSpaceDE w:val="0"/>
        <w:autoSpaceDN w:val="0"/>
        <w:bidi w:val="0"/>
        <w:adjustRightInd w:val="0"/>
        <w:snapToGrid/>
        <w:spacing w:line="40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1、</w:t>
      </w:r>
      <w:r>
        <w:rPr>
          <w:rFonts w:hint="eastAsia" w:asciiTheme="minorEastAsia" w:hAnsiTheme="minorEastAsia" w:eastAsiaTheme="minorEastAsia" w:cstheme="minorEastAsia"/>
          <w:b/>
          <w:color w:val="000000"/>
          <w:sz w:val="24"/>
          <w:szCs w:val="24"/>
        </w:rPr>
        <w:t>本部分内容仅提供格式参考。</w:t>
      </w:r>
    </w:p>
    <w:p>
      <w:pPr>
        <w:pageBreakBefore w:val="0"/>
        <w:numPr>
          <w:ilvl w:val="0"/>
          <w:numId w:val="3"/>
        </w:numPr>
        <w:kinsoku/>
        <w:wordWrap/>
        <w:overflowPunct/>
        <w:topLinePunct w:val="0"/>
        <w:autoSpaceDE w:val="0"/>
        <w:autoSpaceDN w:val="0"/>
        <w:bidi w:val="0"/>
        <w:adjustRightInd w:val="0"/>
        <w:snapToGrid/>
        <w:spacing w:line="40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供应商应按照以下文件的要求、格式、内容制作</w:t>
      </w: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文件，并编制目录及页码，混乱的编排导致</w:t>
      </w: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文件被误读或查找不到，后果由供应商承担。</w:t>
      </w:r>
    </w:p>
    <w:p>
      <w:pPr>
        <w:pageBreakBefore w:val="0"/>
        <w:numPr>
          <w:ilvl w:val="0"/>
          <w:numId w:val="3"/>
        </w:numPr>
        <w:kinsoku/>
        <w:wordWrap/>
        <w:overflowPunct/>
        <w:topLinePunct w:val="0"/>
        <w:autoSpaceDE w:val="0"/>
        <w:autoSpaceDN w:val="0"/>
        <w:bidi w:val="0"/>
        <w:adjustRightInd w:val="0"/>
        <w:snapToGrid/>
        <w:spacing w:line="40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所附表格中要求回答的全部问题和信息都必须正面回答。</w:t>
      </w:r>
    </w:p>
    <w:p>
      <w:pPr>
        <w:pageBreakBefore w:val="0"/>
        <w:numPr>
          <w:ilvl w:val="0"/>
          <w:numId w:val="3"/>
        </w:numPr>
        <w:kinsoku/>
        <w:wordWrap/>
        <w:overflowPunct/>
        <w:topLinePunct w:val="0"/>
        <w:autoSpaceDE w:val="0"/>
        <w:autoSpaceDN w:val="0"/>
        <w:bidi w:val="0"/>
        <w:adjustRightInd w:val="0"/>
        <w:snapToGrid/>
        <w:spacing w:line="40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供应商提交的材料不予退还。</w:t>
      </w:r>
    </w:p>
    <w:p>
      <w:pPr>
        <w:pageBreakBefore w:val="0"/>
        <w:numPr>
          <w:ilvl w:val="0"/>
          <w:numId w:val="3"/>
        </w:numPr>
        <w:kinsoku/>
        <w:wordWrap/>
        <w:overflowPunct/>
        <w:topLinePunct w:val="0"/>
        <w:autoSpaceDE w:val="0"/>
        <w:autoSpaceDN w:val="0"/>
        <w:bidi w:val="0"/>
        <w:adjustRightInd w:val="0"/>
        <w:snapToGrid/>
        <w:spacing w:line="40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全部文件应按供应商须知以及前附表中规定的语言和份数提交。</w:t>
      </w:r>
    </w:p>
    <w:p>
      <w:pPr>
        <w:pageBreakBefore w:val="0"/>
        <w:kinsoku/>
        <w:wordWrap/>
        <w:overflowPunct/>
        <w:topLinePunct w:val="0"/>
        <w:autoSpaceDE w:val="0"/>
        <w:autoSpaceDN w:val="0"/>
        <w:bidi w:val="0"/>
        <w:adjustRightInd w:val="0"/>
        <w:snapToGrid/>
        <w:spacing w:line="400" w:lineRule="exact"/>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文件应按照</w:t>
      </w: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文件格式逐项填写，无相应内容可填的项应填写“无”“未测试”“没有相应指标”等明确的回答文字。</w:t>
      </w:r>
    </w:p>
    <w:p>
      <w:pPr>
        <w:pageBreakBefore w:val="0"/>
        <w:kinsoku/>
        <w:wordWrap/>
        <w:overflowPunct/>
        <w:topLinePunct w:val="0"/>
        <w:autoSpaceDE w:val="0"/>
        <w:autoSpaceDN w:val="0"/>
        <w:bidi w:val="0"/>
        <w:adjustRightInd w:val="0"/>
        <w:snapToGrid/>
        <w:spacing w:line="400" w:lineRule="exact"/>
        <w:rPr>
          <w:rFonts w:hint="eastAsia" w:asciiTheme="minorEastAsia" w:hAnsiTheme="minorEastAsia" w:eastAsiaTheme="minorEastAsia" w:cstheme="minorEastAsia"/>
          <w:b/>
          <w:color w:val="000000"/>
          <w:sz w:val="24"/>
          <w:szCs w:val="24"/>
          <w:lang w:val="zh-CN"/>
        </w:rPr>
      </w:pPr>
    </w:p>
    <w:p>
      <w:pPr>
        <w:pageBreakBefore w:val="0"/>
        <w:kinsoku/>
        <w:wordWrap/>
        <w:overflowPunct/>
        <w:topLinePunct w:val="0"/>
        <w:autoSpaceDE w:val="0"/>
        <w:autoSpaceDN w:val="0"/>
        <w:bidi w:val="0"/>
        <w:adjustRightInd w:val="0"/>
        <w:snapToGrid/>
        <w:spacing w:line="400" w:lineRule="exact"/>
        <w:ind w:firstLine="3614" w:firstLineChars="1500"/>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资质审核表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840" w:type="dxa"/>
          </w:tcPr>
          <w:p>
            <w:pPr>
              <w:pStyle w:val="5"/>
              <w:spacing w:line="240" w:lineRule="auto"/>
              <w:rPr>
                <w:rFonts w:hint="eastAsia"/>
                <w:vertAlign w:val="baseline"/>
                <w:lang w:val="zh-CN"/>
              </w:rPr>
            </w:pPr>
            <w:r>
              <w:rPr>
                <w:rFonts w:hint="eastAsia"/>
                <w:vertAlign w:val="baseline"/>
                <w:lang w:val="zh-CN"/>
              </w:rPr>
              <w:t>谈判文件要求</w:t>
            </w:r>
          </w:p>
        </w:tc>
        <w:tc>
          <w:tcPr>
            <w:tcW w:w="2841" w:type="dxa"/>
          </w:tcPr>
          <w:p>
            <w:pPr>
              <w:pStyle w:val="5"/>
              <w:spacing w:line="240" w:lineRule="auto"/>
              <w:rPr>
                <w:rFonts w:hint="eastAsia"/>
                <w:vertAlign w:val="baseline"/>
                <w:lang w:val="zh-CN"/>
              </w:rPr>
            </w:pPr>
            <w:r>
              <w:rPr>
                <w:rFonts w:hint="eastAsia"/>
                <w:vertAlign w:val="baseline"/>
                <w:lang w:val="zh-CN"/>
              </w:rPr>
              <w:t>响应条款</w:t>
            </w:r>
          </w:p>
        </w:tc>
        <w:tc>
          <w:tcPr>
            <w:tcW w:w="2841" w:type="dxa"/>
          </w:tcPr>
          <w:p>
            <w:pPr>
              <w:pStyle w:val="5"/>
              <w:spacing w:line="240" w:lineRule="auto"/>
              <w:rPr>
                <w:rFonts w:hint="eastAsia"/>
                <w:vertAlign w:val="baseline"/>
                <w:lang w:val="zh-CN"/>
              </w:rPr>
            </w:pPr>
            <w:r>
              <w:rPr>
                <w:rFonts w:hint="eastAsia"/>
                <w:vertAlign w:val="baseline"/>
                <w:lang w:val="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840" w:type="dxa"/>
          </w:tcPr>
          <w:p>
            <w:pPr>
              <w:pStyle w:val="5"/>
              <w:spacing w:line="240" w:lineRule="auto"/>
              <w:rPr>
                <w:rFonts w:hint="eastAsia"/>
                <w:vertAlign w:val="baseline"/>
                <w:lang w:val="zh-CN"/>
              </w:rPr>
            </w:pPr>
            <w:r>
              <w:rPr>
                <w:rFonts w:hint="eastAsia" w:ascii="宋体" w:hAnsi="宋体" w:eastAsia="宋体" w:cs="宋体"/>
                <w:b w:val="0"/>
                <w:bCs w:val="0"/>
                <w:kern w:val="2"/>
                <w:sz w:val="24"/>
                <w:szCs w:val="22"/>
                <w:lang w:val="en-US" w:eastAsia="zh-CN" w:bidi="ar-SA"/>
              </w:rPr>
              <w:t>（1）具有独立承担民事责任的能力（</w:t>
            </w:r>
            <w:r>
              <w:rPr>
                <w:rFonts w:hint="eastAsia" w:ascii="宋体" w:hAnsi="宋体" w:eastAsia="宋体" w:cs="宋体"/>
                <w:b w:val="0"/>
                <w:bCs w:val="0"/>
                <w:kern w:val="2"/>
                <w:sz w:val="24"/>
                <w:szCs w:val="22"/>
                <w:lang w:val="zh-CN" w:eastAsia="zh-CN" w:bidi="ar-SA"/>
              </w:rPr>
              <w:t>提供法人或者其他组织的营业执照和自然人的身份证明），</w:t>
            </w:r>
            <w:r>
              <w:rPr>
                <w:rFonts w:hint="eastAsia" w:ascii="宋体" w:hAnsi="宋体" w:cs="宋体"/>
                <w:b/>
                <w:bCs/>
                <w:sz w:val="24"/>
                <w:u w:val="single"/>
              </w:rPr>
              <w:t>检测单位需具有国家规定的相关检测资质，营业执照经营范围需有“检验检测服务”，具备“检验检测机构资质认定证书”，需按国家环保部门的要求开展监测服务并出具正规的检测报告，确保报告的时效性及时性。</w:t>
            </w:r>
          </w:p>
        </w:tc>
        <w:tc>
          <w:tcPr>
            <w:tcW w:w="2841" w:type="dxa"/>
          </w:tcPr>
          <w:p>
            <w:pPr>
              <w:pStyle w:val="5"/>
              <w:spacing w:line="240" w:lineRule="auto"/>
              <w:rPr>
                <w:rFonts w:hint="eastAsia"/>
                <w:vertAlign w:val="baseline"/>
                <w:lang w:val="zh-CN"/>
              </w:rPr>
            </w:pPr>
          </w:p>
        </w:tc>
        <w:tc>
          <w:tcPr>
            <w:tcW w:w="2841" w:type="dxa"/>
          </w:tcPr>
          <w:p>
            <w:pPr>
              <w:pStyle w:val="5"/>
              <w:spacing w:line="240" w:lineRule="auto"/>
              <w:rPr>
                <w:rFonts w:hint="eastAsia"/>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widowControl/>
              <w:adjustRightInd w:val="0"/>
              <w:snapToGrid w:val="0"/>
              <w:spacing w:line="360" w:lineRule="auto"/>
              <w:jc w:val="left"/>
              <w:rPr>
                <w:rFonts w:hint="eastAsia"/>
                <w:vertAlign w:val="baseline"/>
                <w:lang w:val="zh-CN"/>
              </w:rPr>
            </w:pPr>
            <w:r>
              <w:rPr>
                <w:rFonts w:hint="eastAsia" w:ascii="宋体" w:hAnsi="宋体" w:cs="宋体"/>
                <w:sz w:val="24"/>
              </w:rPr>
              <w:t>（2）具有良好的商业信誉和健全的财务会计制度（提供参加本次政府采购活动前一年（至少一个月）的</w:t>
            </w:r>
            <w:r>
              <w:rPr>
                <w:rFonts w:hint="eastAsia" w:ascii="宋体" w:hAnsi="宋体" w:cs="宋体"/>
                <w:sz w:val="24"/>
                <w:lang w:val="zh-CN"/>
              </w:rPr>
              <w:t>会计报表</w:t>
            </w:r>
            <w:r>
              <w:rPr>
                <w:rFonts w:hint="eastAsia" w:ascii="宋体" w:hAnsi="宋体" w:cs="宋体"/>
                <w:sz w:val="24"/>
              </w:rPr>
              <w:t>）；</w:t>
            </w:r>
          </w:p>
        </w:tc>
        <w:tc>
          <w:tcPr>
            <w:tcW w:w="2841" w:type="dxa"/>
          </w:tcPr>
          <w:p>
            <w:pPr>
              <w:pStyle w:val="5"/>
              <w:spacing w:line="240" w:lineRule="auto"/>
              <w:rPr>
                <w:rFonts w:hint="eastAsia"/>
                <w:vertAlign w:val="baseline"/>
                <w:lang w:val="zh-CN"/>
              </w:rPr>
            </w:pPr>
          </w:p>
        </w:tc>
        <w:tc>
          <w:tcPr>
            <w:tcW w:w="2841" w:type="dxa"/>
          </w:tcPr>
          <w:p>
            <w:pPr>
              <w:pStyle w:val="5"/>
              <w:spacing w:line="240" w:lineRule="auto"/>
              <w:rPr>
                <w:rFonts w:hint="eastAsia"/>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line="360" w:lineRule="auto"/>
              <w:jc w:val="left"/>
              <w:rPr>
                <w:rFonts w:hint="eastAsia"/>
                <w:vertAlign w:val="baseline"/>
                <w:lang w:val="zh-CN"/>
              </w:rPr>
            </w:pPr>
            <w:r>
              <w:rPr>
                <w:rFonts w:hint="eastAsia" w:ascii="宋体" w:hAnsi="宋体" w:cs="宋体"/>
                <w:sz w:val="24"/>
              </w:rPr>
              <w:t>（3）具有履行合同所必需的设备和专业技术能力（根据项目需求提供相应的专业设备说明、技术管理人员情况说明、专业技术资质等）；</w:t>
            </w:r>
          </w:p>
        </w:tc>
        <w:tc>
          <w:tcPr>
            <w:tcW w:w="2841" w:type="dxa"/>
          </w:tcPr>
          <w:p>
            <w:pPr>
              <w:pStyle w:val="5"/>
              <w:spacing w:line="240" w:lineRule="auto"/>
              <w:rPr>
                <w:rFonts w:hint="eastAsia"/>
                <w:vertAlign w:val="baseline"/>
                <w:lang w:val="zh-CN"/>
              </w:rPr>
            </w:pPr>
          </w:p>
        </w:tc>
        <w:tc>
          <w:tcPr>
            <w:tcW w:w="2841" w:type="dxa"/>
          </w:tcPr>
          <w:p>
            <w:pPr>
              <w:pStyle w:val="5"/>
              <w:spacing w:line="240" w:lineRule="auto"/>
              <w:rPr>
                <w:rFonts w:hint="eastAsia"/>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line="360" w:lineRule="auto"/>
              <w:jc w:val="left"/>
              <w:rPr>
                <w:rFonts w:hint="eastAsia"/>
                <w:vertAlign w:val="baseline"/>
                <w:lang w:val="zh-CN"/>
              </w:rPr>
            </w:pPr>
            <w:r>
              <w:rPr>
                <w:rFonts w:hint="eastAsia" w:ascii="宋体" w:hAnsi="宋体" w:cs="宋体"/>
                <w:sz w:val="24"/>
              </w:rPr>
              <w:t>（4）有依法缴纳税收和社会保障资金的良好记录（提供参加本次政府采购活动前一年内（至少一个月）依法缴纳税收和社会保障资金的相关材料）；</w:t>
            </w:r>
          </w:p>
        </w:tc>
        <w:tc>
          <w:tcPr>
            <w:tcW w:w="2841" w:type="dxa"/>
          </w:tcPr>
          <w:p>
            <w:pPr>
              <w:pStyle w:val="5"/>
              <w:spacing w:line="240" w:lineRule="auto"/>
              <w:rPr>
                <w:rFonts w:hint="eastAsia"/>
                <w:vertAlign w:val="baseline"/>
                <w:lang w:val="zh-CN"/>
              </w:rPr>
            </w:pPr>
          </w:p>
        </w:tc>
        <w:tc>
          <w:tcPr>
            <w:tcW w:w="2841" w:type="dxa"/>
          </w:tcPr>
          <w:p>
            <w:pPr>
              <w:pStyle w:val="5"/>
              <w:spacing w:line="240" w:lineRule="auto"/>
              <w:rPr>
                <w:rFonts w:hint="eastAsia"/>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adjustRightInd w:val="0"/>
              <w:snapToGrid w:val="0"/>
              <w:spacing w:line="360" w:lineRule="auto"/>
              <w:jc w:val="left"/>
              <w:rPr>
                <w:rFonts w:hint="eastAsia" w:ascii="宋体" w:hAnsi="宋体" w:cs="宋体"/>
                <w:sz w:val="24"/>
              </w:rPr>
            </w:pPr>
            <w:r>
              <w:rPr>
                <w:rFonts w:hint="eastAsia" w:ascii="宋体" w:hAnsi="宋体" w:cs="宋体"/>
                <w:sz w:val="24"/>
              </w:rPr>
              <w:t>（5）参加政府采购活动前三年内，在经营活动中没有重大违法记录（提供参加本次政府采购活动前3年内在经营活动中没有重大违法记录的书面声明）；</w:t>
            </w:r>
          </w:p>
        </w:tc>
        <w:tc>
          <w:tcPr>
            <w:tcW w:w="2841" w:type="dxa"/>
          </w:tcPr>
          <w:p>
            <w:pPr>
              <w:pStyle w:val="5"/>
              <w:spacing w:line="240" w:lineRule="auto"/>
              <w:rPr>
                <w:rFonts w:hint="eastAsia"/>
                <w:vertAlign w:val="baseline"/>
                <w:lang w:val="zh-CN"/>
              </w:rPr>
            </w:pPr>
          </w:p>
        </w:tc>
        <w:tc>
          <w:tcPr>
            <w:tcW w:w="2841" w:type="dxa"/>
          </w:tcPr>
          <w:p>
            <w:pPr>
              <w:pStyle w:val="5"/>
              <w:spacing w:line="240" w:lineRule="auto"/>
              <w:rPr>
                <w:rFonts w:hint="eastAsia"/>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utoSpaceDE w:val="0"/>
              <w:autoSpaceDN w:val="0"/>
              <w:adjustRightInd w:val="0"/>
              <w:snapToGrid w:val="0"/>
              <w:spacing w:line="360" w:lineRule="auto"/>
              <w:rPr>
                <w:rFonts w:hint="eastAsia" w:ascii="宋体" w:hAnsi="宋体" w:cs="宋体"/>
                <w:sz w:val="24"/>
              </w:rPr>
            </w:pPr>
            <w:r>
              <w:rPr>
                <w:rFonts w:hint="eastAsia" w:ascii="宋体" w:hAnsi="宋体" w:cs="宋体"/>
                <w:sz w:val="24"/>
              </w:rPr>
              <w:t>（6）法律、行政法规规定的其他条件（提供项目实施所必须的许可资质证明材料）</w:t>
            </w:r>
          </w:p>
        </w:tc>
        <w:tc>
          <w:tcPr>
            <w:tcW w:w="2841" w:type="dxa"/>
          </w:tcPr>
          <w:p>
            <w:pPr>
              <w:pStyle w:val="5"/>
              <w:spacing w:line="240" w:lineRule="auto"/>
              <w:rPr>
                <w:rFonts w:hint="eastAsia"/>
                <w:vertAlign w:val="baseline"/>
                <w:lang w:val="zh-CN"/>
              </w:rPr>
            </w:pPr>
          </w:p>
        </w:tc>
        <w:tc>
          <w:tcPr>
            <w:tcW w:w="2841" w:type="dxa"/>
          </w:tcPr>
          <w:p>
            <w:pPr>
              <w:pStyle w:val="5"/>
              <w:spacing w:line="240" w:lineRule="auto"/>
              <w:rPr>
                <w:rFonts w:hint="eastAsia"/>
                <w:vertAlign w:val="baseline"/>
                <w:lang w:val="zh-CN"/>
              </w:rPr>
            </w:pPr>
          </w:p>
        </w:tc>
      </w:tr>
    </w:tbl>
    <w:p>
      <w:pPr>
        <w:rPr>
          <w:rFonts w:hint="eastAsia"/>
          <w:lang w:val="zh-CN"/>
        </w:rPr>
      </w:pPr>
    </w:p>
    <w:p>
      <w:pPr>
        <w:pageBreakBefore w:val="0"/>
        <w:kinsoku/>
        <w:wordWrap/>
        <w:overflowPunct/>
        <w:topLinePunct w:val="0"/>
        <w:autoSpaceDE w:val="0"/>
        <w:autoSpaceDN w:val="0"/>
        <w:bidi w:val="0"/>
        <w:adjustRightInd w:val="0"/>
        <w:snapToGrid/>
        <w:spacing w:line="400" w:lineRule="exact"/>
        <w:rPr>
          <w:rFonts w:hint="eastAsia" w:asciiTheme="minorEastAsia" w:hAnsiTheme="minorEastAsia" w:eastAsiaTheme="minorEastAsia" w:cstheme="minorEastAsia"/>
          <w:b/>
          <w:color w:val="000000"/>
          <w:sz w:val="24"/>
          <w:szCs w:val="24"/>
          <w:lang w:val="zh-CN"/>
        </w:rPr>
      </w:pPr>
    </w:p>
    <w:p>
      <w:pPr>
        <w:pageBreakBefore w:val="0"/>
        <w:kinsoku/>
        <w:wordWrap/>
        <w:overflowPunct/>
        <w:topLinePunct w:val="0"/>
        <w:autoSpaceDE w:val="0"/>
        <w:autoSpaceDN w:val="0"/>
        <w:bidi w:val="0"/>
        <w:adjustRightInd w:val="0"/>
        <w:snapToGrid/>
        <w:spacing w:line="400" w:lineRule="exact"/>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格式一、谈判申请及声明格式</w:t>
      </w:r>
    </w:p>
    <w:p>
      <w:pPr>
        <w:pageBreakBefore w:val="0"/>
        <w:kinsoku/>
        <w:wordWrap/>
        <w:overflowPunct/>
        <w:topLinePunct w:val="0"/>
        <w:autoSpaceDE w:val="0"/>
        <w:autoSpaceDN w:val="0"/>
        <w:bidi w:val="0"/>
        <w:adjustRightInd w:val="0"/>
        <w:snapToGrid/>
        <w:spacing w:line="400" w:lineRule="exact"/>
        <w:ind w:firstLine="3253" w:firstLineChars="1350"/>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lang w:eastAsia="zh-CN"/>
        </w:rPr>
        <w:t>谈判</w:t>
      </w:r>
      <w:r>
        <w:rPr>
          <w:rFonts w:hint="eastAsia" w:asciiTheme="minorEastAsia" w:hAnsiTheme="minorEastAsia" w:eastAsiaTheme="minorEastAsia" w:cstheme="minorEastAsia"/>
          <w:b/>
          <w:sz w:val="24"/>
          <w:szCs w:val="24"/>
        </w:rPr>
        <w:t>申请及声明</w:t>
      </w:r>
    </w:p>
    <w:p>
      <w:pPr>
        <w:pageBreakBefore w:val="0"/>
        <w:kinsoku/>
        <w:wordWrap/>
        <w:overflowPunct/>
        <w:topLinePunct w:val="0"/>
        <w:bidi w:val="0"/>
        <w:snapToGrid/>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pageBreakBefore w:val="0"/>
        <w:kinsoku/>
        <w:wordWrap/>
        <w:overflowPunct/>
        <w:topLinePunct w:val="0"/>
        <w:bidi w:val="0"/>
        <w:snapToGrid/>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邀请，正式授权下述签字人____________ (姓名和职务)代表</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人__________（</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人名称），提交</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我们的资格条件完全符合政府采购法和本次谈判要求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同意并向贵方提供了与谈判有关的所有证据和资料。</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2、按谈判文件要求，我们的谈判总报价为（大写）</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zh-CN"/>
        </w:rPr>
        <w:t>元人民币。</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3、我们已详细审核全部谈判文件及其有效补充文件，我们放弃对谈判文件任何误解的权利，提交谈判文件后，</w:t>
      </w:r>
      <w:r>
        <w:rPr>
          <w:rFonts w:hint="eastAsia" w:asciiTheme="minorEastAsia" w:hAnsiTheme="minorEastAsia" w:eastAsiaTheme="minorEastAsia" w:cstheme="minorEastAsia"/>
          <w:b/>
          <w:color w:val="000000"/>
          <w:sz w:val="24"/>
          <w:szCs w:val="24"/>
          <w:lang w:val="zh-CN"/>
        </w:rPr>
        <w:t>不对谈判文件本身提出质疑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4、我们同意从规定的开标日期起遵循本谈判文件，并在规定的谈判有效期期满之前均具有约束力。</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5、一旦我方中标，我方将根据谈判文件的规定严格履行合同，并保证于承诺的时间完成服务的启动/集成、调试等服务，交付采购人验收、使用。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、与本谈判有关的正式联系方式为：</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pageBreakBefore w:val="0"/>
        <w:widowControl/>
        <w:kinsoku/>
        <w:wordWrap/>
        <w:overflowPunct/>
        <w:topLinePunct w:val="0"/>
        <w:bidi w:val="0"/>
        <w:adjustRightInd w:val="0"/>
        <w:snapToGrid/>
        <w:spacing w:line="400" w:lineRule="exact"/>
        <w:jc w:val="left"/>
        <w:rPr>
          <w:rFonts w:hint="eastAsia" w:asciiTheme="minorEastAsia" w:hAnsiTheme="minorEastAsia" w:eastAsiaTheme="minorEastAsia" w:cstheme="minorEastAsia"/>
          <w:b/>
          <w:color w:val="000000"/>
          <w:kern w:val="0"/>
          <w:sz w:val="24"/>
          <w:szCs w:val="24"/>
          <w:lang w:val="zh-CN"/>
        </w:rPr>
      </w:pPr>
    </w:p>
    <w:p>
      <w:pPr>
        <w:pageBreakBefore w:val="0"/>
        <w:widowControl/>
        <w:kinsoku/>
        <w:wordWrap/>
        <w:overflowPunct/>
        <w:topLinePunct w:val="0"/>
        <w:bidi w:val="0"/>
        <w:adjustRightInd w:val="0"/>
        <w:snapToGrid/>
        <w:spacing w:line="400" w:lineRule="exact"/>
        <w:jc w:val="left"/>
        <w:rPr>
          <w:rFonts w:hint="eastAsia"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b/>
          <w:color w:val="000000"/>
          <w:kern w:val="0"/>
          <w:sz w:val="24"/>
          <w:szCs w:val="24"/>
          <w:lang w:val="zh-CN"/>
        </w:rPr>
        <w:t>格式二、法定代表人授权书格式</w:t>
      </w:r>
    </w:p>
    <w:p>
      <w:pPr>
        <w:pageBreakBefore w:val="0"/>
        <w:kinsoku/>
        <w:wordWrap/>
        <w:overflowPunct/>
        <w:topLinePunct w:val="0"/>
        <w:bidi w:val="0"/>
        <w:snapToGrid/>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法定代表人授权委托书</w:t>
      </w:r>
    </w:p>
    <w:p>
      <w:pPr>
        <w:pageBreakBefore w:val="0"/>
        <w:widowControl/>
        <w:kinsoku/>
        <w:wordWrap/>
        <w:overflowPunct/>
        <w:topLinePunct w:val="0"/>
        <w:bidi w:val="0"/>
        <w:adjustRightInd w:val="0"/>
        <w:snapToGrid/>
        <w:spacing w:line="400" w:lineRule="exact"/>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lang w:val="zh-CN"/>
        </w:rPr>
        <w:t>南京市溧水区人民医院</w:t>
      </w:r>
      <w:r>
        <w:rPr>
          <w:rFonts w:hint="eastAsia" w:asciiTheme="minorEastAsia" w:hAnsiTheme="minorEastAsia" w:eastAsiaTheme="minorEastAsia" w:cstheme="minorEastAsia"/>
          <w:color w:val="000000"/>
          <w:kern w:val="0"/>
          <w:sz w:val="24"/>
          <w:szCs w:val="24"/>
          <w:lang w:val="zh-CN"/>
        </w:rPr>
        <w:t>：</w:t>
      </w:r>
    </w:p>
    <w:p>
      <w:pPr>
        <w:pageBreakBefore w:val="0"/>
        <w:widowControl/>
        <w:kinsoku/>
        <w:wordWrap/>
        <w:overflowPunct/>
        <w:topLinePunct w:val="0"/>
        <w:bidi w:val="0"/>
        <w:adjustRightInd w:val="0"/>
        <w:snapToGrid/>
        <w:spacing w:line="400" w:lineRule="exact"/>
        <w:ind w:firstLine="420"/>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授权书声明：注册于（谈判人住址）的（谈判公司名称）法定代表人（法定代表人姓名、职务）代表本公司授权在下面签字的（谈判人代表姓名、职务）为本公司的合法代理人，就贵方组织的（项目名称），（项目编号）谈判，以本公司名义处理一切与之有关的事务。</w:t>
      </w:r>
    </w:p>
    <w:p>
      <w:pPr>
        <w:pageBreakBefore w:val="0"/>
        <w:widowControl/>
        <w:kinsoku/>
        <w:wordWrap/>
        <w:overflowPunct/>
        <w:topLinePunct w:val="0"/>
        <w:bidi w:val="0"/>
        <w:adjustRightInd w:val="0"/>
        <w:snapToGrid/>
        <w:spacing w:line="400" w:lineRule="exact"/>
        <w:ind w:firstLine="408"/>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本授权书于年月日签字生效，特此声明。</w:t>
      </w:r>
    </w:p>
    <w:p>
      <w:pPr>
        <w:pageBreakBefore w:val="0"/>
        <w:widowControl/>
        <w:kinsoku/>
        <w:wordWrap/>
        <w:overflowPunct/>
        <w:topLinePunct w:val="0"/>
        <w:bidi w:val="0"/>
        <w:adjustRightInd w:val="0"/>
        <w:snapToGrid/>
        <w:spacing w:line="400" w:lineRule="exact"/>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w:t>
      </w:r>
      <w:r>
        <w:rPr>
          <w:rFonts w:hint="eastAsia" w:asciiTheme="minorEastAsia" w:hAnsiTheme="minorEastAsia" w:eastAsiaTheme="minorEastAsia" w:cstheme="minorEastAsia"/>
          <w:color w:val="000000"/>
          <w:sz w:val="24"/>
          <w:szCs w:val="24"/>
          <w:lang w:val="zh-CN"/>
        </w:rPr>
        <w:t>（签字）</w:t>
      </w:r>
      <w:r>
        <w:rPr>
          <w:rFonts w:hint="eastAsia" w:asciiTheme="minorEastAsia" w:hAnsiTheme="minorEastAsia" w:eastAsiaTheme="minorEastAsia" w:cstheme="minorEastAsia"/>
          <w:kern w:val="0"/>
          <w:sz w:val="24"/>
          <w:szCs w:val="24"/>
          <w:lang w:val="zh-CN"/>
        </w:rPr>
        <w:t>：</w:t>
      </w:r>
    </w:p>
    <w:p>
      <w:pPr>
        <w:pageBreakBefore w:val="0"/>
        <w:widowControl/>
        <w:kinsoku/>
        <w:wordWrap/>
        <w:overflowPunct/>
        <w:topLinePunct w:val="0"/>
        <w:bidi w:val="0"/>
        <w:adjustRightInd w:val="0"/>
        <w:snapToGrid/>
        <w:spacing w:line="400" w:lineRule="exact"/>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授权委托人</w:t>
      </w:r>
      <w:r>
        <w:rPr>
          <w:rFonts w:hint="eastAsia" w:asciiTheme="minorEastAsia" w:hAnsiTheme="minorEastAsia" w:eastAsiaTheme="minorEastAsia" w:cstheme="minorEastAsia"/>
          <w:color w:val="000000"/>
          <w:sz w:val="24"/>
          <w:szCs w:val="24"/>
          <w:lang w:val="zh-CN"/>
        </w:rPr>
        <w:t>（签字）</w:t>
      </w:r>
      <w:r>
        <w:rPr>
          <w:rFonts w:hint="eastAsia" w:asciiTheme="minorEastAsia" w:hAnsiTheme="minorEastAsia" w:eastAsiaTheme="minorEastAsia" w:cstheme="minorEastAsia"/>
          <w:kern w:val="0"/>
          <w:sz w:val="24"/>
          <w:szCs w:val="24"/>
          <w:lang w:val="zh-CN"/>
        </w:rPr>
        <w:t>：</w:t>
      </w:r>
    </w:p>
    <w:p>
      <w:pPr>
        <w:pageBreakBefore w:val="0"/>
        <w:widowControl/>
        <w:tabs>
          <w:tab w:val="left" w:pos="1440"/>
        </w:tabs>
        <w:kinsoku/>
        <w:wordWrap/>
        <w:overflowPunct/>
        <w:topLinePunct w:val="0"/>
        <w:bidi w:val="0"/>
        <w:adjustRightInd w:val="0"/>
        <w:snapToGrid/>
        <w:spacing w:line="400" w:lineRule="exact"/>
        <w:jc w:val="left"/>
        <w:rPr>
          <w:rFonts w:hint="eastAsia"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kern w:val="0"/>
          <w:sz w:val="24"/>
          <w:szCs w:val="24"/>
          <w:lang w:val="zh-CN"/>
        </w:rPr>
        <w:t>日期：</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日</w:t>
      </w:r>
    </w:p>
    <w:p>
      <w:pPr>
        <w:pStyle w:val="5"/>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2780665</wp:posOffset>
                </wp:positionH>
                <wp:positionV relativeFrom="paragraph">
                  <wp:posOffset>483870</wp:posOffset>
                </wp:positionV>
                <wp:extent cx="2597785" cy="1264285"/>
                <wp:effectExtent l="6350" t="6350" r="24765" b="24765"/>
                <wp:wrapNone/>
                <wp:docPr id="2" name="矩形 2"/>
                <wp:cNvGraphicFramePr/>
                <a:graphic xmlns:a="http://schemas.openxmlformats.org/drawingml/2006/main">
                  <a:graphicData uri="http://schemas.microsoft.com/office/word/2010/wordprocessingShape">
                    <wps:wsp>
                      <wps:cNvSpPr/>
                      <wps:spPr>
                        <a:xfrm>
                          <a:off x="0" y="0"/>
                          <a:ext cx="2597785" cy="1264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95pt;margin-top:38.1pt;height:99.55pt;width:204.55pt;z-index:251660288;v-text-anchor:middle;mso-width-relative:page;mso-height-relative:page;" fillcolor="#FFFFFF [3201]" filled="t" stroked="t" coordsize="21600,21600" o:gfxdata="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DzWpd2AAAAAoBAAAPAAAAAAAAAAEAIAAAACIAAABkcnMv&#10;ZG93bnJldi54bWxQSwECFAAUAAAACACHTuJAt5FeoXUCAAAABQAADgAAAAAAAAABACAAAAAnAQAA&#10;ZHJzL2Uyb0RvYy54bWxQSwUGAAAAAAYABgBZAQAADgYAAAAA&#10;">
                <v:fill on="t"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495935</wp:posOffset>
                </wp:positionV>
                <wp:extent cx="2597785" cy="1264285"/>
                <wp:effectExtent l="6350" t="6350" r="24765" b="24765"/>
                <wp:wrapNone/>
                <wp:docPr id="1" name="矩形 1"/>
                <wp:cNvGraphicFramePr/>
                <a:graphic xmlns:a="http://schemas.openxmlformats.org/drawingml/2006/main">
                  <a:graphicData uri="http://schemas.microsoft.com/office/word/2010/wordprocessingShape">
                    <wps:wsp>
                      <wps:cNvSpPr/>
                      <wps:spPr>
                        <a:xfrm>
                          <a:off x="1087120" y="8776335"/>
                          <a:ext cx="2597785" cy="1264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39.05pt;height:99.55pt;width:204.55pt;z-index:251659264;v-text-anchor:middle;mso-width-relative:page;mso-height-relative:page;" fillcolor="#FFFFFF [3201]" filled="t" stroked="t" coordsize="21600,21600" o:gfxdata="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lCiC3WAAAACQEAAA8AAAAAAAAAAQAgAAAA&#10;IgAAAGRycy9kb3ducmV2LnhtbFBLAQIUABQAAAAIAIdO4kDmiFcrfwIAAAwFAAAOAAAAAAAAAAEA&#10;IAAAACUBAABkcnMvZTJvRG9jLnhtbFBLBQYAAAAABgAGAFkBAAAWBgAAAAA=&#10;">
                <v:fill on="t"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4"/>
          <w:szCs w:val="24"/>
          <w:lang w:val="en-US" w:eastAsia="zh-CN"/>
        </w:rPr>
        <w:t>法定代表人及被授权人身份证明的复印件：</w:t>
      </w:r>
    </w:p>
    <w:p>
      <w:pPr>
        <w:rPr>
          <w:rFonts w:hint="eastAsia" w:asciiTheme="minorEastAsia" w:hAnsiTheme="minorEastAsia" w:eastAsiaTheme="minorEastAsia" w:cstheme="minorEastAsia"/>
          <w:sz w:val="24"/>
          <w:szCs w:val="24"/>
          <w:lang w:val="en-US" w:eastAsia="zh-CN"/>
        </w:rPr>
      </w:pPr>
    </w:p>
    <w:p>
      <w:pPr>
        <w:pStyle w:val="5"/>
        <w:rPr>
          <w:rFonts w:hint="eastAsia"/>
          <w:lang w:val="en-US" w:eastAsia="zh-CN"/>
        </w:rPr>
      </w:pPr>
    </w:p>
    <w:p>
      <w:pPr>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lang w:val="en-US" w:eastAsia="zh-CN"/>
        </w:rPr>
      </w:pPr>
    </w:p>
    <w:p>
      <w:pPr>
        <w:pStyle w:val="5"/>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格式三、报价表</w:t>
      </w:r>
    </w:p>
    <w:p>
      <w:pPr>
        <w:pStyle w:val="5"/>
        <w:pageBreakBefore w:val="0"/>
        <w:kinsoku/>
        <w:wordWrap/>
        <w:overflowPunct/>
        <w:topLinePunct w:val="0"/>
        <w:bidi w:val="0"/>
        <w:snapToGrid/>
        <w:spacing w:line="400" w:lineRule="exact"/>
        <w:ind w:firstLine="3132" w:firstLineChars="1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b/>
          <w:sz w:val="24"/>
          <w:szCs w:val="24"/>
        </w:rPr>
        <w:t>报 价 表</w:t>
      </w:r>
      <w:r>
        <w:rPr>
          <w:rFonts w:hint="eastAsia" w:asciiTheme="minorEastAsia" w:hAnsiTheme="minorEastAsia" w:eastAsiaTheme="minorEastAsia" w:cstheme="minorEastAsia"/>
          <w:b/>
          <w:w w:val="99"/>
          <w:sz w:val="24"/>
          <w:szCs w:val="24"/>
        </w:rPr>
        <w:t xml:space="preserve"> </w:t>
      </w: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spacing w:val="-3"/>
          <w:w w:val="100"/>
          <w:sz w:val="24"/>
          <w:szCs w:val="24"/>
        </w:rPr>
        <w:t xml:space="preserve"> </w:t>
      </w: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spacing w:val="-3"/>
          <w:w w:val="100"/>
          <w:sz w:val="24"/>
          <w:szCs w:val="24"/>
        </w:rPr>
        <w:t xml:space="preserve"> </w:t>
      </w: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spacing w:val="-3"/>
          <w:w w:val="100"/>
          <w:sz w:val="24"/>
          <w:szCs w:val="24"/>
        </w:rPr>
        <w:t xml:space="preserve">  </w:t>
      </w:r>
      <w:r>
        <w:rPr>
          <w:rFonts w:hint="eastAsia" w:asciiTheme="minorEastAsia" w:hAnsiTheme="minorEastAsia" w:eastAsiaTheme="minorEastAsia" w:cstheme="minorEastAsia"/>
          <w:w w:val="100"/>
          <w:sz w:val="24"/>
          <w:szCs w:val="24"/>
        </w:rPr>
        <w:t xml:space="preserve"> </w:t>
      </w:r>
    </w:p>
    <w:tbl>
      <w:tblPr>
        <w:tblStyle w:val="11"/>
        <w:tblpPr w:leftFromText="180" w:rightFromText="180" w:vertAnchor="text" w:horzAnchor="page" w:tblpX="1492" w:tblpY="101"/>
        <w:tblOverlap w:val="never"/>
        <w:tblW w:w="9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3239"/>
        <w:gridCol w:w="1732"/>
        <w:gridCol w:w="2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564" w:type="dxa"/>
          </w:tcPr>
          <w:p>
            <w:pPr>
              <w:pStyle w:val="15"/>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p>
        </w:tc>
        <w:tc>
          <w:tcPr>
            <w:tcW w:w="3239" w:type="dxa"/>
          </w:tcPr>
          <w:p>
            <w:pPr>
              <w:pStyle w:val="15"/>
              <w:pageBreakBefore w:val="0"/>
              <w:kinsoku/>
              <w:wordWrap/>
              <w:overflowPunct/>
              <w:topLinePunct w:val="0"/>
              <w:bidi w:val="0"/>
              <w:snapToGrid/>
              <w:spacing w:line="400" w:lineRule="exact"/>
              <w:ind w:left="106"/>
              <w:rPr>
                <w:rFonts w:hint="eastAsia" w:asciiTheme="minorEastAsia" w:hAnsiTheme="minorEastAsia" w:eastAsiaTheme="minorEastAsia" w:cstheme="minorEastAsia"/>
                <w:w w:val="100"/>
                <w:sz w:val="24"/>
                <w:szCs w:val="24"/>
                <w:lang w:eastAsia="zh-CN"/>
              </w:rPr>
            </w:pPr>
            <w:r>
              <w:rPr>
                <w:rFonts w:hint="eastAsia" w:asciiTheme="minorEastAsia" w:hAnsiTheme="minorEastAsia" w:eastAsiaTheme="minorEastAsia" w:cstheme="minorEastAsia"/>
                <w:sz w:val="24"/>
                <w:szCs w:val="24"/>
                <w:lang w:eastAsia="zh-CN"/>
              </w:rPr>
              <w:t>环保自行监测服务</w:t>
            </w:r>
            <w:r>
              <w:rPr>
                <w:rFonts w:hint="eastAsia" w:asciiTheme="minorEastAsia" w:hAnsiTheme="minorEastAsia" w:eastAsiaTheme="minorEastAsia" w:cstheme="minorEastAsia"/>
                <w:sz w:val="24"/>
                <w:szCs w:val="24"/>
              </w:rPr>
              <w:t xml:space="preserve"> </w:t>
            </w:r>
          </w:p>
        </w:tc>
        <w:tc>
          <w:tcPr>
            <w:tcW w:w="1732" w:type="dxa"/>
          </w:tcPr>
          <w:p>
            <w:pPr>
              <w:pStyle w:val="15"/>
              <w:pageBreakBefore w:val="0"/>
              <w:kinsoku/>
              <w:wordWrap/>
              <w:overflowPunct/>
              <w:topLinePunct w:val="0"/>
              <w:bidi w:val="0"/>
              <w:snapToGrid/>
              <w:spacing w:line="400" w:lineRule="exact"/>
              <w:ind w:left="106"/>
              <w:rPr>
                <w:rFonts w:hint="eastAsia" w:asciiTheme="minorEastAsia" w:hAnsiTheme="minorEastAsia" w:eastAsiaTheme="minorEastAsia" w:cstheme="minorEastAsia"/>
                <w:w w:val="100"/>
                <w:sz w:val="24"/>
                <w:szCs w:val="24"/>
                <w:lang w:eastAsia="zh-CN"/>
              </w:rPr>
            </w:pPr>
            <w:r>
              <w:rPr>
                <w:rFonts w:hint="eastAsia" w:asciiTheme="minorEastAsia" w:hAnsiTheme="minorEastAsia" w:eastAsiaTheme="minorEastAsia" w:cstheme="minorEastAsia"/>
                <w:w w:val="100"/>
                <w:sz w:val="24"/>
                <w:szCs w:val="24"/>
                <w:lang w:eastAsia="zh-CN"/>
              </w:rPr>
              <w:t>项目编号</w:t>
            </w:r>
          </w:p>
        </w:tc>
        <w:tc>
          <w:tcPr>
            <w:tcW w:w="2564" w:type="dxa"/>
          </w:tcPr>
          <w:p>
            <w:pPr>
              <w:pStyle w:val="15"/>
              <w:pageBreakBefore w:val="0"/>
              <w:kinsoku/>
              <w:wordWrap/>
              <w:overflowPunct/>
              <w:topLinePunct w:val="0"/>
              <w:bidi w:val="0"/>
              <w:snapToGrid/>
              <w:spacing w:line="400" w:lineRule="exact"/>
              <w:ind w:left="106"/>
              <w:rPr>
                <w:rFonts w:hint="default"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LSRY-ZB2022-Z015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564" w:type="dxa"/>
          </w:tcPr>
          <w:p>
            <w:pPr>
              <w:pStyle w:val="15"/>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合计 </w:t>
            </w:r>
          </w:p>
        </w:tc>
        <w:tc>
          <w:tcPr>
            <w:tcW w:w="7535" w:type="dxa"/>
            <w:gridSpan w:val="3"/>
          </w:tcPr>
          <w:p>
            <w:pPr>
              <w:pStyle w:val="15"/>
              <w:pageBreakBefore w:val="0"/>
              <w:kinsoku/>
              <w:wordWrap/>
              <w:overflowPunct/>
              <w:topLinePunct w:val="0"/>
              <w:bidi w:val="0"/>
              <w:snapToGrid/>
              <w:spacing w:before="142"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小写：人民币           元</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p>
          <w:p>
            <w:pPr>
              <w:pStyle w:val="15"/>
              <w:pageBreakBefore w:val="0"/>
              <w:kinsoku/>
              <w:wordWrap/>
              <w:overflowPunct/>
              <w:topLinePunct w:val="0"/>
              <w:bidi w:val="0"/>
              <w:snapToGrid/>
              <w:spacing w:before="171"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大写：人民币           元</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564" w:type="dxa"/>
          </w:tcPr>
          <w:p>
            <w:pPr>
              <w:pStyle w:val="15"/>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服务时间 </w:t>
            </w:r>
          </w:p>
        </w:tc>
        <w:tc>
          <w:tcPr>
            <w:tcW w:w="7535" w:type="dxa"/>
            <w:gridSpan w:val="3"/>
          </w:tcPr>
          <w:p>
            <w:pPr>
              <w:pStyle w:val="15"/>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满足</w:t>
            </w:r>
            <w:r>
              <w:rPr>
                <w:rFonts w:hint="eastAsia" w:asciiTheme="minorEastAsia" w:hAnsiTheme="minorEastAsia" w:eastAsiaTheme="minorEastAsia" w:cstheme="minorEastAsia"/>
                <w:sz w:val="24"/>
                <w:szCs w:val="24"/>
                <w:u w:val="single"/>
                <w:lang w:eastAsia="zh-CN"/>
              </w:rPr>
              <w:t>谈判</w:t>
            </w:r>
            <w:r>
              <w:rPr>
                <w:rFonts w:hint="eastAsia" w:asciiTheme="minorEastAsia" w:hAnsiTheme="minorEastAsia" w:eastAsiaTheme="minorEastAsia" w:cstheme="minorEastAsia"/>
                <w:sz w:val="24"/>
                <w:szCs w:val="24"/>
                <w:u w:val="single"/>
              </w:rPr>
              <w:t>文件要求。</w:t>
            </w:r>
            <w:r>
              <w:rPr>
                <w:rFonts w:hint="eastAsia" w:asciiTheme="minorEastAsia" w:hAnsiTheme="minorEastAsia" w:eastAsiaTheme="minorEastAsia" w:cstheme="minor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564" w:type="dxa"/>
          </w:tcPr>
          <w:p>
            <w:pPr>
              <w:pStyle w:val="15"/>
              <w:pageBreakBefore w:val="0"/>
              <w:kinsoku/>
              <w:wordWrap/>
              <w:overflowPunct/>
              <w:topLinePunct w:val="0"/>
              <w:bidi w:val="0"/>
              <w:snapToGrid/>
              <w:spacing w:before="135" w:line="400" w:lineRule="exact"/>
              <w:ind w:right="9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是否属于小微型企业</w:t>
            </w:r>
          </w:p>
        </w:tc>
        <w:tc>
          <w:tcPr>
            <w:tcW w:w="7535" w:type="dxa"/>
            <w:gridSpan w:val="3"/>
          </w:tcPr>
          <w:p>
            <w:pPr>
              <w:pStyle w:val="15"/>
              <w:pageBreakBefore w:val="0"/>
              <w:kinsoku/>
              <w:wordWrap/>
              <w:overflowPunct/>
              <w:topLinePunct w:val="0"/>
              <w:bidi w:val="0"/>
              <w:snapToGrid/>
              <w:spacing w:line="400" w:lineRule="exact"/>
              <w:ind w:right="362"/>
              <w:jc w:val="both"/>
              <w:rPr>
                <w:rFonts w:hint="eastAsia" w:asciiTheme="minorEastAsia" w:hAnsiTheme="minorEastAsia" w:eastAsiaTheme="minorEastAsia" w:cstheme="minorEastAsia"/>
                <w:w w:val="100"/>
                <w:sz w:val="24"/>
                <w:szCs w:val="24"/>
              </w:rPr>
            </w:pPr>
          </w:p>
          <w:p>
            <w:pPr>
              <w:pStyle w:val="15"/>
              <w:pageBreakBefore w:val="0"/>
              <w:kinsoku/>
              <w:wordWrap/>
              <w:overflowPunct/>
              <w:topLinePunct w:val="0"/>
              <w:bidi w:val="0"/>
              <w:snapToGrid/>
              <w:spacing w:line="400" w:lineRule="exact"/>
              <w:ind w:right="362"/>
              <w:jc w:val="both"/>
              <w:rPr>
                <w:rFonts w:hint="eastAsia"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 xml:space="preserve"> </w:t>
            </w:r>
            <w:r>
              <w:rPr>
                <w:rFonts w:hint="eastAsia" w:asciiTheme="minorEastAsia" w:hAnsiTheme="minorEastAsia" w:eastAsiaTheme="minorEastAsia" w:cstheme="minorEastAsia"/>
                <w:w w:val="100"/>
                <w:sz w:val="24"/>
                <w:szCs w:val="24"/>
                <w:lang w:val="en-US" w:eastAsia="zh-CN"/>
              </w:rPr>
              <w:sym w:font="Wingdings 2" w:char="00A3"/>
            </w:r>
            <w:r>
              <w:rPr>
                <w:rFonts w:hint="eastAsia" w:asciiTheme="minorEastAsia" w:hAnsiTheme="minorEastAsia" w:eastAsiaTheme="minorEastAsia" w:cstheme="minorEastAsia"/>
                <w:w w:val="100"/>
                <w:sz w:val="24"/>
                <w:szCs w:val="24"/>
                <w:lang w:val="en-US" w:eastAsia="zh-CN"/>
              </w:rPr>
              <w:t xml:space="preserve">  是     </w:t>
            </w:r>
            <w:r>
              <w:rPr>
                <w:rFonts w:hint="eastAsia" w:asciiTheme="minorEastAsia" w:hAnsiTheme="minorEastAsia" w:eastAsiaTheme="minorEastAsia" w:cstheme="minorEastAsia"/>
                <w:w w:val="100"/>
                <w:sz w:val="24"/>
                <w:szCs w:val="24"/>
                <w:lang w:val="en-US" w:eastAsia="zh-CN"/>
              </w:rPr>
              <w:sym w:font="Wingdings 2" w:char="00A3"/>
            </w:r>
            <w:r>
              <w:rPr>
                <w:rFonts w:hint="eastAsia" w:asciiTheme="minorEastAsia" w:hAnsiTheme="minorEastAsia" w:eastAsiaTheme="minorEastAsia" w:cstheme="minorEastAsia"/>
                <w:w w:val="100"/>
                <w:sz w:val="24"/>
                <w:szCs w:val="24"/>
                <w:lang w:val="en-US" w:eastAsia="zh-CN"/>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1564" w:type="dxa"/>
          </w:tcPr>
          <w:p>
            <w:pPr>
              <w:pStyle w:val="15"/>
              <w:pageBreakBefore w:val="0"/>
              <w:kinsoku/>
              <w:wordWrap/>
              <w:overflowPunct/>
              <w:topLinePunct w:val="0"/>
              <w:bidi w:val="0"/>
              <w:snapToGrid/>
              <w:spacing w:before="135" w:line="400" w:lineRule="exact"/>
              <w:ind w:left="107" w:right="9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其他优惠条款或服务条款</w:t>
            </w:r>
          </w:p>
        </w:tc>
        <w:tc>
          <w:tcPr>
            <w:tcW w:w="7535" w:type="dxa"/>
            <w:gridSpan w:val="3"/>
          </w:tcPr>
          <w:p>
            <w:pPr>
              <w:pStyle w:val="15"/>
              <w:pageBreakBefore w:val="0"/>
              <w:kinsoku/>
              <w:wordWrap/>
              <w:overflowPunct/>
              <w:topLinePunct w:val="0"/>
              <w:bidi w:val="0"/>
              <w:snapToGrid/>
              <w:spacing w:line="400" w:lineRule="exact"/>
              <w:ind w:right="362"/>
              <w:jc w:val="center"/>
              <w:rPr>
                <w:rFonts w:hint="eastAsia" w:asciiTheme="minorEastAsia" w:hAnsiTheme="minorEastAsia" w:eastAsiaTheme="minorEastAsia" w:cstheme="minorEastAsia"/>
                <w:w w:val="100"/>
                <w:sz w:val="24"/>
                <w:szCs w:val="24"/>
              </w:rPr>
            </w:pPr>
          </w:p>
        </w:tc>
      </w:tr>
    </w:tbl>
    <w:p>
      <w:pPr>
        <w:pStyle w:val="2"/>
        <w:pageBreakBefore w:val="0"/>
        <w:kinsoku/>
        <w:wordWrap/>
        <w:overflowPunct/>
        <w:topLinePunct w:val="0"/>
        <w:bidi w:val="0"/>
        <w:snapToGrid/>
        <w:spacing w:before="1" w:line="400" w:lineRule="exact"/>
        <w:ind w:left="0" w:leftChars="0" w:firstLine="0" w:firstLineChars="0"/>
        <w:rPr>
          <w:rFonts w:hint="eastAsia" w:asciiTheme="minorEastAsia" w:hAnsiTheme="minorEastAsia" w:eastAsiaTheme="minorEastAsia" w:cstheme="minorEastAsia"/>
          <w:w w:val="100"/>
          <w:sz w:val="24"/>
          <w:szCs w:val="24"/>
        </w:rPr>
      </w:pPr>
      <w:r>
        <w:rPr>
          <w:rFonts w:hint="eastAsia" w:asciiTheme="minorEastAsia" w:hAnsiTheme="minorEastAsia" w:eastAsiaTheme="minorEastAsia" w:cstheme="minorEastAsia"/>
          <w:sz w:val="24"/>
          <w:szCs w:val="24"/>
        </w:rPr>
        <w:t>供应商（盖章）：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w w:val="100"/>
          <w:sz w:val="24"/>
          <w:szCs w:val="24"/>
        </w:rPr>
        <w:t xml:space="preserve"> </w:t>
      </w:r>
    </w:p>
    <w:p>
      <w:pPr>
        <w:pStyle w:val="2"/>
        <w:pageBreakBefore w:val="0"/>
        <w:kinsoku/>
        <w:wordWrap/>
        <w:overflowPunct/>
        <w:topLinePunct w:val="0"/>
        <w:bidi w:val="0"/>
        <w:snapToGrid/>
        <w:spacing w:before="1" w:line="400" w:lineRule="exact"/>
        <w:ind w:left="0" w:leftChars="0" w:firstLine="0" w:firstLineChars="0"/>
        <w:rPr>
          <w:rFonts w:hint="eastAsia" w:asciiTheme="minorEastAsia" w:hAnsiTheme="minorEastAsia" w:eastAsiaTheme="minorEastAsia" w:cstheme="minorEastAsia"/>
          <w:w w:val="100"/>
          <w:sz w:val="24"/>
          <w:szCs w:val="24"/>
        </w:rPr>
      </w:pPr>
      <w:r>
        <w:rPr>
          <w:rFonts w:hint="eastAsia" w:asciiTheme="minorEastAsia" w:hAnsiTheme="minorEastAsia" w:eastAsiaTheme="minorEastAsia" w:cstheme="minorEastAsia"/>
          <w:sz w:val="24"/>
          <w:szCs w:val="24"/>
        </w:rPr>
        <w:t>法定代表人或其授权代表（签字）：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w w:val="100"/>
          <w:sz w:val="24"/>
          <w:szCs w:val="24"/>
        </w:rPr>
        <w:t xml:space="preserve"> </w:t>
      </w:r>
    </w:p>
    <w:p>
      <w:pPr>
        <w:pStyle w:val="2"/>
        <w:pageBreakBefore w:val="0"/>
        <w:kinsoku/>
        <w:wordWrap/>
        <w:overflowPunct/>
        <w:topLinePunct w:val="0"/>
        <w:bidi w:val="0"/>
        <w:snapToGrid/>
        <w:spacing w:before="1" w:line="400" w:lineRule="exact"/>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 ： 年 月 日 </w:t>
      </w:r>
    </w:p>
    <w:p>
      <w:pPr>
        <w:pStyle w:val="5"/>
        <w:pageBreakBefore w:val="0"/>
        <w:kinsoku/>
        <w:wordWrap/>
        <w:overflowPunct/>
        <w:topLinePunct w:val="0"/>
        <w:bidi w:val="0"/>
        <w:snapToGrid/>
        <w:spacing w:line="4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说明： 1、本项目仅接受一个价格，不得填报有选择性报价方案。若有优惠条款须注明，但不得影响报价，影响产品整体功能。 2、“供应商是否属于小微型企业”栏内填写“是”或“否”。如填写“是”，供应商需提供《中小企业声明函》、《残疾人福利性单位声明函》、《属于监狱企业的证明文件》。 对小微企业生产的产品给予报价的10%价格扣除，用扣除后的价格参与评审。</w:t>
      </w: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格式四、服务条款响应表（请服务商根据《第一部分：采购需求》-服务条款一一响应，如未填写内容，直接加盖公章，视为全部响应）</w:t>
      </w:r>
    </w:p>
    <w:p>
      <w:pPr>
        <w:widowControl/>
        <w:adjustRightInd w:val="0"/>
        <w:spacing w:line="360" w:lineRule="auto"/>
        <w:ind w:left="420"/>
        <w:jc w:val="center"/>
        <w:outlineLvl w:val="0"/>
        <w:rPr>
          <w:rFonts w:ascii="宋体" w:hAnsi="宋体" w:cs="宋体"/>
          <w:color w:val="000000"/>
          <w:kern w:val="0"/>
          <w:sz w:val="24"/>
          <w:lang w:val="zh-CN"/>
        </w:rPr>
      </w:pPr>
      <w:r>
        <w:rPr>
          <w:rFonts w:hint="eastAsia" w:ascii="宋体" w:hAnsi="宋体" w:cs="宋体"/>
          <w:color w:val="000000"/>
          <w:kern w:val="0"/>
          <w:sz w:val="24"/>
          <w:lang w:val="zh-CN"/>
        </w:rPr>
        <w:t>服务条款偏离表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47"/>
        <w:gridCol w:w="2624"/>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995" w:type="dxa"/>
          <w:trHeight w:val="284" w:hRule="atLeast"/>
          <w:tblHeader/>
          <w:jc w:val="center"/>
        </w:trPr>
        <w:tc>
          <w:tcPr>
            <w:tcW w:w="2828" w:type="dxa"/>
            <w:gridSpan w:val="3"/>
            <w:tcBorders>
              <w:top w:val="nil"/>
              <w:left w:val="nil"/>
              <w:bottom w:val="single" w:color="auto" w:sz="4" w:space="0"/>
              <w:right w:val="nil"/>
            </w:tcBorders>
            <w:vAlign w:val="center"/>
          </w:tcPr>
          <w:p>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项目编号：</w:t>
            </w:r>
            <w:r>
              <w:rPr>
                <w:rFonts w:hint="eastAsia" w:ascii="宋体" w:hAnsi="宋体" w:cs="宋体"/>
                <w:b/>
                <w:color w:val="000000"/>
                <w:sz w:val="24"/>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谈判文件要求</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供应商响应条款</w:t>
            </w:r>
          </w:p>
        </w:tc>
        <w:tc>
          <w:tcPr>
            <w:tcW w:w="137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zh-CN"/>
              </w:rPr>
              <w:t>正偏离</w:t>
            </w:r>
            <w:r>
              <w:rPr>
                <w:rFonts w:hint="eastAsia" w:ascii="宋体" w:hAnsi="宋体" w:cs="宋体"/>
                <w:color w:val="000000"/>
                <w:kern w:val="0"/>
                <w:sz w:val="24"/>
                <w:lang w:val="en-US" w:eastAsia="zh-CN"/>
              </w:rPr>
              <w:t>/负偏离/符合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cs="宋体"/>
                <w:color w:val="000000"/>
                <w:kern w:val="0"/>
                <w:sz w:val="24"/>
                <w:lang w:val="zh-CN"/>
              </w:rPr>
            </w:pPr>
          </w:p>
        </w:tc>
      </w:tr>
    </w:tbl>
    <w:p>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供应商名称：</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（盖章）</w:t>
      </w:r>
    </w:p>
    <w:p>
      <w:pPr>
        <w:widowControl/>
        <w:adjustRightInd w:val="0"/>
        <w:spacing w:line="360" w:lineRule="auto"/>
        <w:jc w:val="left"/>
        <w:rPr>
          <w:rFonts w:ascii="宋体" w:hAnsi="宋体" w:cs="宋体"/>
          <w:b/>
          <w:color w:val="000000"/>
          <w:sz w:val="24"/>
        </w:rPr>
      </w:pPr>
      <w:r>
        <w:rPr>
          <w:rFonts w:hint="eastAsia" w:ascii="宋体" w:hAnsi="宋体" w:cs="宋体"/>
          <w:color w:val="000000"/>
          <w:kern w:val="0"/>
          <w:sz w:val="24"/>
          <w:lang w:val="zh-CN"/>
        </w:rPr>
        <w:t>说明：如果行数不够，请自行增加。</w:t>
      </w:r>
    </w:p>
    <w:p>
      <w:pPr>
        <w:pStyle w:val="2"/>
        <w:pageBreakBefore w:val="0"/>
        <w:kinsoku/>
        <w:wordWrap/>
        <w:overflowPunct/>
        <w:topLinePunct w:val="0"/>
        <w:bidi w:val="0"/>
        <w:snapToGrid/>
        <w:spacing w:before="141" w:line="400" w:lineRule="exact"/>
        <w:ind w:left="0" w:leftChars="0" w:firstLine="0" w:firstLineChars="0"/>
        <w:rPr>
          <w:rFonts w:hint="default" w:asciiTheme="minorEastAsia" w:hAnsiTheme="minorEastAsia" w:eastAsiaTheme="minorEastAsia" w:cstheme="minorEastAsia"/>
          <w:b/>
          <w:bCs/>
          <w:sz w:val="24"/>
          <w:szCs w:val="24"/>
          <w:lang w:val="en-US" w:eastAsia="zh-CN"/>
        </w:rPr>
      </w:pP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格式五、拟参与本项目人员一览表</w:t>
      </w:r>
    </w:p>
    <w:tbl>
      <w:tblPr>
        <w:tblStyle w:val="11"/>
        <w:tblpPr w:leftFromText="180" w:rightFromText="180" w:vertAnchor="text" w:horzAnchor="page" w:tblpX="1628" w:tblpY="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895"/>
        <w:gridCol w:w="662"/>
        <w:gridCol w:w="711"/>
        <w:gridCol w:w="1133"/>
        <w:gridCol w:w="1056"/>
        <w:gridCol w:w="1020"/>
        <w:gridCol w:w="1173"/>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36" w:type="dxa"/>
          </w:tcPr>
          <w:p>
            <w:pPr>
              <w:pStyle w:val="15"/>
              <w:pageBreakBefore w:val="0"/>
              <w:kinsoku/>
              <w:wordWrap/>
              <w:overflowPunct/>
              <w:topLinePunct w:val="0"/>
              <w:bidi w:val="0"/>
              <w:snapToGrid/>
              <w:spacing w:before="12" w:line="400" w:lineRule="exact"/>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line="400" w:lineRule="exact"/>
              <w:ind w:left="161" w:right="4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r>
              <w:rPr>
                <w:rFonts w:hint="eastAsia" w:asciiTheme="minorEastAsia" w:hAnsiTheme="minorEastAsia" w:eastAsiaTheme="minorEastAsia" w:cstheme="minorEastAsia"/>
                <w:b/>
                <w:w w:val="99"/>
                <w:sz w:val="24"/>
                <w:szCs w:val="24"/>
              </w:rPr>
              <w:t xml:space="preserve"> </w:t>
            </w:r>
          </w:p>
        </w:tc>
        <w:tc>
          <w:tcPr>
            <w:tcW w:w="895" w:type="dxa"/>
          </w:tcPr>
          <w:p>
            <w:pPr>
              <w:pStyle w:val="15"/>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before="162" w:line="400" w:lineRule="exact"/>
              <w:ind w:left="234"/>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姓名</w:t>
            </w:r>
            <w:r>
              <w:rPr>
                <w:rFonts w:hint="eastAsia" w:asciiTheme="minorEastAsia" w:hAnsiTheme="minorEastAsia" w:eastAsiaTheme="minorEastAsia" w:cstheme="minorEastAsia"/>
                <w:b/>
                <w:w w:val="99"/>
                <w:sz w:val="24"/>
                <w:szCs w:val="24"/>
              </w:rPr>
              <w:t xml:space="preserve"> </w:t>
            </w:r>
          </w:p>
        </w:tc>
        <w:tc>
          <w:tcPr>
            <w:tcW w:w="662" w:type="dxa"/>
          </w:tcPr>
          <w:p>
            <w:pPr>
              <w:pStyle w:val="15"/>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before="162" w:line="400" w:lineRule="exact"/>
              <w:ind w:left="11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性别</w:t>
            </w:r>
            <w:r>
              <w:rPr>
                <w:rFonts w:hint="eastAsia" w:asciiTheme="minorEastAsia" w:hAnsiTheme="minorEastAsia" w:eastAsiaTheme="minorEastAsia" w:cstheme="minorEastAsia"/>
                <w:b/>
                <w:w w:val="99"/>
                <w:sz w:val="24"/>
                <w:szCs w:val="24"/>
              </w:rPr>
              <w:t xml:space="preserve"> </w:t>
            </w:r>
          </w:p>
        </w:tc>
        <w:tc>
          <w:tcPr>
            <w:tcW w:w="711" w:type="dxa"/>
          </w:tcPr>
          <w:p>
            <w:pPr>
              <w:pStyle w:val="15"/>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before="162" w:line="400" w:lineRule="exact"/>
              <w:ind w:left="1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年龄</w:t>
            </w:r>
            <w:r>
              <w:rPr>
                <w:rFonts w:hint="eastAsia" w:asciiTheme="minorEastAsia" w:hAnsiTheme="minorEastAsia" w:eastAsiaTheme="minorEastAsia" w:cstheme="minorEastAsia"/>
                <w:b/>
                <w:w w:val="99"/>
                <w:sz w:val="24"/>
                <w:szCs w:val="24"/>
              </w:rPr>
              <w:t xml:space="preserve"> </w:t>
            </w:r>
          </w:p>
        </w:tc>
        <w:tc>
          <w:tcPr>
            <w:tcW w:w="1133" w:type="dxa"/>
          </w:tcPr>
          <w:p>
            <w:pPr>
              <w:pStyle w:val="15"/>
              <w:pageBreakBefore w:val="0"/>
              <w:kinsoku/>
              <w:wordWrap/>
              <w:overflowPunct/>
              <w:topLinePunct w:val="0"/>
              <w:bidi w:val="0"/>
              <w:snapToGrid/>
              <w:spacing w:before="12" w:line="400" w:lineRule="exact"/>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line="400" w:lineRule="exact"/>
              <w:ind w:left="355" w:right="132" w:hanging="10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学历及专业</w:t>
            </w:r>
            <w:r>
              <w:rPr>
                <w:rFonts w:hint="eastAsia" w:asciiTheme="minorEastAsia" w:hAnsiTheme="minorEastAsia" w:eastAsiaTheme="minorEastAsia" w:cstheme="minorEastAsia"/>
                <w:b/>
                <w:w w:val="99"/>
                <w:sz w:val="24"/>
                <w:szCs w:val="24"/>
              </w:rPr>
              <w:t xml:space="preserve"> </w:t>
            </w:r>
          </w:p>
        </w:tc>
        <w:tc>
          <w:tcPr>
            <w:tcW w:w="1056" w:type="dxa"/>
          </w:tcPr>
          <w:p>
            <w:pPr>
              <w:pStyle w:val="15"/>
              <w:pageBreakBefore w:val="0"/>
              <w:kinsoku/>
              <w:wordWrap/>
              <w:overflowPunct/>
              <w:topLinePunct w:val="0"/>
              <w:bidi w:val="0"/>
              <w:snapToGrid/>
              <w:spacing w:before="145" w:line="400" w:lineRule="exact"/>
              <w:ind w:left="211" w:right="93" w:firstLine="105"/>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执 业 资格及证书号</w:t>
            </w:r>
            <w:r>
              <w:rPr>
                <w:rFonts w:hint="eastAsia" w:asciiTheme="minorEastAsia" w:hAnsiTheme="minorEastAsia" w:eastAsiaTheme="minorEastAsia" w:cstheme="minorEastAsia"/>
                <w:b/>
                <w:w w:val="99"/>
                <w:sz w:val="24"/>
                <w:szCs w:val="24"/>
              </w:rPr>
              <w:t xml:space="preserve"> </w:t>
            </w:r>
          </w:p>
        </w:tc>
        <w:tc>
          <w:tcPr>
            <w:tcW w:w="1020" w:type="dxa"/>
          </w:tcPr>
          <w:p>
            <w:pPr>
              <w:pStyle w:val="15"/>
              <w:pageBreakBefore w:val="0"/>
              <w:kinsoku/>
              <w:wordWrap/>
              <w:overflowPunct/>
              <w:topLinePunct w:val="0"/>
              <w:bidi w:val="0"/>
              <w:snapToGrid/>
              <w:spacing w:before="12" w:line="400" w:lineRule="exact"/>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line="400" w:lineRule="exact"/>
              <w:ind w:left="297" w:right="1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技术职称</w:t>
            </w:r>
            <w:r>
              <w:rPr>
                <w:rFonts w:hint="eastAsia" w:asciiTheme="minorEastAsia" w:hAnsiTheme="minorEastAsia" w:eastAsiaTheme="minorEastAsia" w:cstheme="minorEastAsia"/>
                <w:b/>
                <w:w w:val="99"/>
                <w:sz w:val="24"/>
                <w:szCs w:val="24"/>
              </w:rPr>
              <w:t xml:space="preserve"> </w:t>
            </w:r>
          </w:p>
        </w:tc>
        <w:tc>
          <w:tcPr>
            <w:tcW w:w="1173" w:type="dxa"/>
          </w:tcPr>
          <w:p>
            <w:pPr>
              <w:pStyle w:val="15"/>
              <w:pageBreakBefore w:val="0"/>
              <w:kinsoku/>
              <w:wordWrap/>
              <w:overflowPunct/>
              <w:topLinePunct w:val="0"/>
              <w:bidi w:val="0"/>
              <w:snapToGrid/>
              <w:spacing w:before="145" w:line="400" w:lineRule="exact"/>
              <w:ind w:left="165" w:right="15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相关工作年限及工作经历</w:t>
            </w:r>
            <w:r>
              <w:rPr>
                <w:rFonts w:hint="eastAsia" w:asciiTheme="minorEastAsia" w:hAnsiTheme="minorEastAsia" w:eastAsiaTheme="minorEastAsia" w:cstheme="minorEastAsia"/>
                <w:b/>
                <w:w w:val="99"/>
                <w:sz w:val="24"/>
                <w:szCs w:val="24"/>
              </w:rPr>
              <w:t xml:space="preserve"> </w:t>
            </w:r>
          </w:p>
        </w:tc>
        <w:tc>
          <w:tcPr>
            <w:tcW w:w="1589" w:type="dxa"/>
          </w:tcPr>
          <w:p>
            <w:pPr>
              <w:pStyle w:val="15"/>
              <w:pageBreakBefore w:val="0"/>
              <w:kinsoku/>
              <w:wordWrap/>
              <w:overflowPunct/>
              <w:topLinePunct w:val="0"/>
              <w:bidi w:val="0"/>
              <w:snapToGrid/>
              <w:spacing w:before="12" w:line="400" w:lineRule="exact"/>
              <w:rPr>
                <w:rFonts w:hint="eastAsia" w:asciiTheme="minorEastAsia" w:hAnsiTheme="minorEastAsia" w:eastAsiaTheme="minorEastAsia" w:cstheme="minorEastAsia"/>
                <w:sz w:val="24"/>
                <w:szCs w:val="24"/>
              </w:rPr>
            </w:pPr>
          </w:p>
          <w:p>
            <w:pPr>
              <w:pStyle w:val="15"/>
              <w:pageBreakBefore w:val="0"/>
              <w:kinsoku/>
              <w:wordWrap/>
              <w:overflowPunct/>
              <w:topLinePunct w:val="0"/>
              <w:bidi w:val="0"/>
              <w:snapToGrid/>
              <w:spacing w:line="400" w:lineRule="exact"/>
              <w:ind w:left="372" w:right="148" w:hanging="21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拟担任本项目何种工作</w:t>
            </w:r>
            <w:r>
              <w:rPr>
                <w:rFonts w:hint="eastAsia" w:asciiTheme="minorEastAsia" w:hAnsiTheme="minorEastAsia" w:eastAsiaTheme="minorEastAsia" w:cstheme="minorEastAsia"/>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36"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5"/>
              <w:pageBreakBefore w:val="0"/>
              <w:kinsoku/>
              <w:wordWrap/>
              <w:overflowPunct/>
              <w:topLinePunct w:val="0"/>
              <w:bidi w:val="0"/>
              <w:snapToGrid/>
              <w:spacing w:before="3"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3"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3"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3"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3"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3"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3"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3"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3"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36"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1"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1"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5"/>
              <w:pageBreakBefore w:val="0"/>
              <w:kinsoku/>
              <w:wordWrap/>
              <w:overflowPunct/>
              <w:topLinePunct w:val="0"/>
              <w:bidi w:val="0"/>
              <w:snapToGrid/>
              <w:spacing w:before="3"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5"/>
              <w:pageBreakBefore w:val="0"/>
              <w:kinsoku/>
              <w:wordWrap/>
              <w:overflowPunct/>
              <w:topLinePunct w:val="0"/>
              <w:bidi w:val="0"/>
              <w:snapToGrid/>
              <w:spacing w:before="3"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5"/>
              <w:pageBreakBefore w:val="0"/>
              <w:kinsoku/>
              <w:wordWrap/>
              <w:overflowPunct/>
              <w:topLinePunct w:val="0"/>
              <w:bidi w:val="0"/>
              <w:snapToGrid/>
              <w:spacing w:before="3"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5"/>
              <w:pageBreakBefore w:val="0"/>
              <w:kinsoku/>
              <w:wordWrap/>
              <w:overflowPunct/>
              <w:topLinePunct w:val="0"/>
              <w:bidi w:val="0"/>
              <w:snapToGrid/>
              <w:spacing w:before="3"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5"/>
              <w:pageBreakBefore w:val="0"/>
              <w:kinsoku/>
              <w:wordWrap/>
              <w:overflowPunct/>
              <w:topLinePunct w:val="0"/>
              <w:bidi w:val="0"/>
              <w:snapToGrid/>
              <w:spacing w:before="3"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5"/>
              <w:pageBreakBefore w:val="0"/>
              <w:kinsoku/>
              <w:wordWrap/>
              <w:overflowPunct/>
              <w:topLinePunct w:val="0"/>
              <w:bidi w:val="0"/>
              <w:snapToGrid/>
              <w:spacing w:before="3"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5"/>
              <w:pageBreakBefore w:val="0"/>
              <w:kinsoku/>
              <w:wordWrap/>
              <w:overflowPunct/>
              <w:topLinePunct w:val="0"/>
              <w:bidi w:val="0"/>
              <w:snapToGrid/>
              <w:spacing w:before="3"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5"/>
              <w:pageBreakBefore w:val="0"/>
              <w:kinsoku/>
              <w:wordWrap/>
              <w:overflowPunct/>
              <w:topLinePunct w:val="0"/>
              <w:bidi w:val="0"/>
              <w:snapToGrid/>
              <w:spacing w:before="3"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5"/>
              <w:pageBreakBefore w:val="0"/>
              <w:kinsoku/>
              <w:wordWrap/>
              <w:overflowPunct/>
              <w:topLinePunct w:val="0"/>
              <w:bidi w:val="0"/>
              <w:snapToGrid/>
              <w:spacing w:before="3" w:line="400" w:lineRule="exact"/>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bl>
    <w:p>
      <w:pPr>
        <w:pStyle w:val="2"/>
        <w:pageBreakBefore w:val="0"/>
        <w:kinsoku/>
        <w:wordWrap/>
        <w:overflowPunct/>
        <w:topLinePunct w:val="0"/>
        <w:bidi w:val="0"/>
        <w:snapToGrid/>
        <w:spacing w:before="4" w:line="400" w:lineRule="exact"/>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w w:val="100"/>
          <w:sz w:val="24"/>
          <w:szCs w:val="24"/>
        </w:rPr>
        <w:t xml:space="preserve"> </w:t>
      </w:r>
    </w:p>
    <w:p>
      <w:pPr>
        <w:pStyle w:val="2"/>
        <w:pageBreakBefore w:val="0"/>
        <w:kinsoku/>
        <w:wordWrap/>
        <w:overflowPunct/>
        <w:topLinePunct w:val="0"/>
        <w:bidi w:val="0"/>
        <w:snapToGrid/>
        <w:spacing w:before="139" w:line="400" w:lineRule="exact"/>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法定代表人或其授权代表（签字）：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w w:val="100"/>
          <w:sz w:val="24"/>
          <w:szCs w:val="24"/>
        </w:rPr>
        <w:t xml:space="preserve"> </w:t>
      </w:r>
    </w:p>
    <w:p>
      <w:pPr>
        <w:pStyle w:val="2"/>
        <w:pageBreakBefore w:val="0"/>
        <w:kinsoku/>
        <w:wordWrap/>
        <w:overflowPunct/>
        <w:topLinePunct w:val="0"/>
        <w:bidi w:val="0"/>
        <w:snapToGrid/>
        <w:spacing w:before="139" w:line="400" w:lineRule="exact"/>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日 期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 </w:t>
      </w: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u w:val="single"/>
          <w:lang w:val="en-US" w:eastAsia="zh-CN"/>
        </w:rPr>
        <w:t>注：需提供参与人员的执业证书或相关证书的复印件</w:t>
      </w: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bCs/>
          <w:sz w:val="24"/>
          <w:szCs w:val="24"/>
          <w:u w:val="single"/>
          <w:lang w:val="en-US" w:eastAsia="zh-CN"/>
        </w:rPr>
      </w:pP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格式六、业绩合同（提供三级以上医院合同复印件）</w:t>
      </w: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val="0"/>
          <w:bCs w:val="0"/>
          <w:sz w:val="24"/>
          <w:szCs w:val="24"/>
          <w:u w:val="none"/>
          <w:lang w:val="en-US" w:eastAsia="zh-CN"/>
        </w:rPr>
      </w:pP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格式七、资格资信证明文件（参照谈判文件内要求）</w:t>
      </w: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val="0"/>
          <w:bCs w:val="0"/>
          <w:sz w:val="24"/>
          <w:szCs w:val="24"/>
          <w:u w:val="none"/>
          <w:lang w:val="en-US" w:eastAsia="zh-CN"/>
        </w:rPr>
      </w:pP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格式八、项目技术说明及实施方案</w:t>
      </w: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bCs/>
          <w:sz w:val="24"/>
          <w:szCs w:val="24"/>
          <w:u w:val="none"/>
          <w:lang w:val="en-US" w:eastAsia="zh-CN"/>
        </w:rPr>
      </w:pP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格式九、服务承诺（格式自拟）</w:t>
      </w: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val="0"/>
          <w:bCs w:val="0"/>
          <w:sz w:val="24"/>
          <w:szCs w:val="24"/>
          <w:u w:val="none"/>
          <w:lang w:val="en-US" w:eastAsia="zh-CN"/>
        </w:rPr>
      </w:pPr>
    </w:p>
    <w:p>
      <w:pPr>
        <w:pStyle w:val="6"/>
        <w:pageBreakBefore w:val="0"/>
        <w:kinsoku/>
        <w:wordWrap/>
        <w:overflowPunct/>
        <w:topLinePunct w:val="0"/>
        <w:bidi w:val="0"/>
        <w:snapToGrid/>
        <w:spacing w:line="400" w:lineRule="exact"/>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u w:val="none"/>
          <w:lang w:val="en-US" w:eastAsia="zh-CN"/>
        </w:rPr>
        <w:t>格式十、</w:t>
      </w:r>
      <w:r>
        <w:rPr>
          <w:rFonts w:hint="eastAsia" w:asciiTheme="minorEastAsia" w:hAnsiTheme="minorEastAsia" w:eastAsiaTheme="minorEastAsia" w:cstheme="minorEastAsia"/>
          <w:b/>
          <w:bCs/>
          <w:sz w:val="24"/>
          <w:szCs w:val="24"/>
        </w:rPr>
        <w:t>《南京市政府采购供应商信用记录表》</w:t>
      </w:r>
      <w:r>
        <w:rPr>
          <w:rFonts w:hint="eastAsia" w:asciiTheme="minorEastAsia" w:hAnsiTheme="minorEastAsia" w:eastAsiaTheme="minorEastAsia" w:cstheme="minorEastAsia"/>
          <w:b/>
          <w:bCs/>
          <w:w w:val="99"/>
          <w:sz w:val="24"/>
          <w:szCs w:val="24"/>
        </w:rPr>
        <w:t xml:space="preserve"> </w:t>
      </w:r>
    </w:p>
    <w:p>
      <w:pPr>
        <w:pStyle w:val="2"/>
        <w:pageBreakBefore w:val="0"/>
        <w:kinsoku/>
        <w:wordWrap/>
        <w:overflowPunct/>
        <w:topLinePunct w:val="0"/>
        <w:bidi w:val="0"/>
        <w:snapToGrid/>
        <w:spacing w:before="141" w:line="400" w:lineRule="exact"/>
        <w:ind w:left="0" w:leftChars="0" w:firstLine="0" w:firstLineChars="0"/>
        <w:rPr>
          <w:rFonts w:hint="eastAsia" w:asciiTheme="minorEastAsia" w:hAnsiTheme="minorEastAsia" w:eastAsiaTheme="minorEastAsia" w:cstheme="minorEastAsia"/>
          <w:b w:val="0"/>
          <w:bCs w:val="0"/>
          <w:sz w:val="24"/>
          <w:szCs w:val="24"/>
          <w:u w:val="none"/>
          <w:lang w:val="en-US" w:eastAsia="zh-CN"/>
        </w:rPr>
      </w:pPr>
    </w:p>
    <w:p>
      <w:pPr>
        <w:pageBreakBefore w:val="0"/>
        <w:kinsoku/>
        <w:wordWrap/>
        <w:overflowPunct/>
        <w:topLinePunct w:val="0"/>
        <w:bidi w:val="0"/>
        <w:snapToGrid/>
        <w:spacing w:line="40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u w:val="none"/>
          <w:lang w:val="en-US" w:eastAsia="zh-CN"/>
        </w:rPr>
        <w:t>格式十一、</w:t>
      </w:r>
      <w:r>
        <w:rPr>
          <w:rFonts w:hint="eastAsia" w:asciiTheme="minorEastAsia" w:hAnsiTheme="minorEastAsia" w:eastAsiaTheme="minorEastAsia" w:cstheme="minorEastAsia"/>
          <w:b/>
          <w:bCs/>
          <w:sz w:val="24"/>
          <w:szCs w:val="24"/>
        </w:rPr>
        <w:t>无重大违法记录声明格式</w:t>
      </w:r>
    </w:p>
    <w:p>
      <w:pPr>
        <w:pageBreakBefore w:val="0"/>
        <w:kinsoku/>
        <w:wordWrap/>
        <w:overflowPunct/>
        <w:topLinePunct w:val="0"/>
        <w:bidi w:val="0"/>
        <w:snapToGrid/>
        <w:spacing w:line="400" w:lineRule="exact"/>
        <w:ind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参加政府采购活动前3年内在经营活动中没有重大违法记录的书面声明 </w:t>
      </w:r>
    </w:p>
    <w:p>
      <w:pPr>
        <w:pageBreakBefore w:val="0"/>
        <w:kinsoku/>
        <w:wordWrap/>
        <w:overflowPunct/>
        <w:topLinePunct w:val="0"/>
        <w:bidi w:val="0"/>
        <w:snapToGrid/>
        <w:spacing w:line="400" w:lineRule="exact"/>
        <w:ind w:firstLine="48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（原件）</w:t>
      </w:r>
    </w:p>
    <w:p>
      <w:pPr>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rPr>
      </w:pPr>
    </w:p>
    <w:p>
      <w:pPr>
        <w:pageBreakBefore w:val="0"/>
        <w:kinsoku/>
        <w:wordWrap/>
        <w:overflowPunct/>
        <w:topLinePunct w:val="0"/>
        <w:autoSpaceDE w:val="0"/>
        <w:autoSpaceDN w:val="0"/>
        <w:bidi w:val="0"/>
        <w:adjustRightInd w:val="0"/>
        <w:snapToGrid/>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我公司郑重声明：参加本次政府采购活动前三年内，我公司在经营活动中没有因违法经营受到刑事处罚或者责令停产停业、吊销许可证或者执照、较大数额罚款等行政处罚。</w:t>
      </w:r>
    </w:p>
    <w:p>
      <w:pPr>
        <w:pageBreakBefore w:val="0"/>
        <w:kinsoku/>
        <w:wordWrap/>
        <w:overflowPunct/>
        <w:topLinePunct w:val="0"/>
        <w:autoSpaceDE w:val="0"/>
        <w:autoSpaceDN w:val="0"/>
        <w:bidi w:val="0"/>
        <w:adjustRightInd w:val="0"/>
        <w:snapToGrid/>
        <w:spacing w:line="400" w:lineRule="exact"/>
        <w:jc w:val="left"/>
        <w:rPr>
          <w:rFonts w:hint="eastAsia" w:asciiTheme="minorEastAsia" w:hAnsiTheme="minorEastAsia" w:eastAsiaTheme="minorEastAsia" w:cstheme="minorEastAsia"/>
          <w:kern w:val="0"/>
          <w:sz w:val="24"/>
          <w:szCs w:val="24"/>
        </w:rPr>
      </w:pPr>
    </w:p>
    <w:p>
      <w:pPr>
        <w:pageBreakBefore w:val="0"/>
        <w:kinsoku/>
        <w:wordWrap/>
        <w:overflowPunct/>
        <w:topLinePunct w:val="0"/>
        <w:autoSpaceDE w:val="0"/>
        <w:autoSpaceDN w:val="0"/>
        <w:bidi w:val="0"/>
        <w:adjustRightInd w:val="0"/>
        <w:snapToGrid/>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p>
    <w:p>
      <w:pPr>
        <w:pageBreakBefore w:val="0"/>
        <w:kinsoku/>
        <w:wordWrap/>
        <w:overflowPunct/>
        <w:topLinePunct w:val="0"/>
        <w:bidi w:val="0"/>
        <w:snapToGrid/>
        <w:spacing w:line="400" w:lineRule="exact"/>
        <w:ind w:firstLine="482" w:firstLineChars="200"/>
        <w:rPr>
          <w:rFonts w:hint="eastAsia" w:asciiTheme="minorEastAsia" w:hAnsiTheme="minorEastAsia" w:eastAsiaTheme="minorEastAsia" w:cstheme="minorEastAsia"/>
          <w:b/>
          <w:bCs/>
          <w:sz w:val="24"/>
          <w:szCs w:val="24"/>
        </w:rPr>
      </w:pPr>
    </w:p>
    <w:p>
      <w:pPr>
        <w:pageBreakBefore w:val="0"/>
        <w:kinsoku/>
        <w:wordWrap/>
        <w:overflowPunct/>
        <w:topLinePunct w:val="0"/>
        <w:autoSpaceDE w:val="0"/>
        <w:autoSpaceDN w:val="0"/>
        <w:bidi w:val="0"/>
        <w:adjustRightInd w:val="0"/>
        <w:snapToGrid/>
        <w:spacing w:line="400" w:lineRule="exact"/>
        <w:jc w:val="center"/>
        <w:outlineLvl w:val="0"/>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val="zh-CN"/>
        </w:rPr>
        <w:t xml:space="preserve">                                 谈判人:</w:t>
      </w:r>
      <w:r>
        <w:rPr>
          <w:rFonts w:hint="eastAsia" w:asciiTheme="minorEastAsia" w:hAnsiTheme="minorEastAsia" w:eastAsiaTheme="minorEastAsia" w:cstheme="minorEastAsia"/>
          <w:sz w:val="24"/>
          <w:szCs w:val="24"/>
          <w:u w:val="single"/>
          <w:lang w:val="zh-CN"/>
        </w:rPr>
        <w:t xml:space="preserve">            (盖章)</w:t>
      </w:r>
    </w:p>
    <w:p>
      <w:pPr>
        <w:pageBreakBefore w:val="0"/>
        <w:kinsoku/>
        <w:wordWrap/>
        <w:overflowPunct/>
        <w:topLinePunct w:val="0"/>
        <w:autoSpaceDE w:val="0"/>
        <w:autoSpaceDN w:val="0"/>
        <w:bidi w:val="0"/>
        <w:adjustRightInd w:val="0"/>
        <w:snapToGrid/>
        <w:spacing w:line="400" w:lineRule="exact"/>
        <w:ind w:firstLine="4680" w:firstLineChars="19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法定代表人（委托受托人）签字:</w:t>
      </w:r>
    </w:p>
    <w:p>
      <w:pPr>
        <w:pageBreakBefore w:val="0"/>
        <w:kinsoku/>
        <w:wordWrap/>
        <w:overflowPunct/>
        <w:topLinePunct w:val="0"/>
        <w:autoSpaceDE w:val="0"/>
        <w:autoSpaceDN w:val="0"/>
        <w:bidi w:val="0"/>
        <w:adjustRightInd w:val="0"/>
        <w:snapToGrid/>
        <w:spacing w:line="40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lang w:val="zh-CN"/>
        </w:rPr>
        <w:t xml:space="preserve">                                日期:   年    月     日</w:t>
      </w:r>
    </w:p>
    <w:p>
      <w:pPr>
        <w:pageBreakBefore w:val="0"/>
        <w:kinsoku/>
        <w:wordWrap/>
        <w:overflowPunct/>
        <w:topLinePunct w:val="0"/>
        <w:bidi w:val="0"/>
        <w:snapToGrid/>
        <w:spacing w:line="400" w:lineRule="exact"/>
        <w:rPr>
          <w:rFonts w:hint="eastAsia" w:asciiTheme="minorEastAsia" w:hAnsiTheme="minorEastAsia" w:eastAsiaTheme="minorEastAsia" w:cstheme="minorEastAsia"/>
          <w:b/>
          <w:color w:val="000000"/>
          <w:sz w:val="24"/>
          <w:szCs w:val="24"/>
        </w:rPr>
      </w:pPr>
    </w:p>
    <w:p>
      <w:pPr>
        <w:pageBreakBefore w:val="0"/>
        <w:kinsoku/>
        <w:wordWrap/>
        <w:overflowPunct/>
        <w:topLinePunct w:val="0"/>
        <w:bidi w:val="0"/>
        <w:snapToGrid/>
        <w:spacing w:line="40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格式</w:t>
      </w:r>
      <w:r>
        <w:rPr>
          <w:rFonts w:hint="eastAsia" w:asciiTheme="minorEastAsia" w:hAnsiTheme="minorEastAsia" w:eastAsiaTheme="minorEastAsia" w:cstheme="minorEastAsia"/>
          <w:b/>
          <w:color w:val="000000"/>
          <w:sz w:val="24"/>
          <w:szCs w:val="24"/>
          <w:lang w:eastAsia="zh-CN"/>
        </w:rPr>
        <w:t>十二</w:t>
      </w:r>
      <w:r>
        <w:rPr>
          <w:rFonts w:hint="eastAsia" w:asciiTheme="minorEastAsia" w:hAnsiTheme="minorEastAsia" w:eastAsiaTheme="minorEastAsia" w:cstheme="minorEastAsia"/>
          <w:b/>
          <w:color w:val="000000"/>
          <w:sz w:val="24"/>
          <w:szCs w:val="24"/>
        </w:rPr>
        <w:t>、具备履行合同所必需的设备和专业技术能力的声明格式及证明材料</w:t>
      </w:r>
    </w:p>
    <w:p>
      <w:pPr>
        <w:pageBreakBefore w:val="0"/>
        <w:kinsoku/>
        <w:wordWrap/>
        <w:overflowPunct/>
        <w:topLinePunct w:val="0"/>
        <w:bidi w:val="0"/>
        <w:snapToGrid/>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具备履行合同所必需的设备和专业技术能力的声明</w:t>
      </w:r>
    </w:p>
    <w:p>
      <w:pPr>
        <w:pageBreakBefore w:val="0"/>
        <w:kinsoku/>
        <w:wordWrap/>
        <w:overflowPunct/>
        <w:topLinePunct w:val="0"/>
        <w:bidi w:val="0"/>
        <w:snapToGrid/>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p>
      <w:pPr>
        <w:pageBreakBefore w:val="0"/>
        <w:kinsoku/>
        <w:wordWrap/>
        <w:overflowPunct/>
        <w:topLinePunct w:val="0"/>
        <w:bidi w:val="0"/>
        <w:snapToGrid/>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致：南京市溧水区人民医院</w:t>
      </w:r>
    </w:p>
    <w:p>
      <w:pPr>
        <w:pageBreakBefore w:val="0"/>
        <w:kinsoku/>
        <w:wordWrap/>
        <w:overflowPunct/>
        <w:topLinePunct w:val="0"/>
        <w:bidi w:val="0"/>
        <w:snapToGrid/>
        <w:spacing w:line="400" w:lineRule="exact"/>
        <w:ind w:firstLine="960" w:firstLineChars="4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我公司郑重声明：具备履行编号为</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合同的设备和专业技术能力。</w:t>
      </w:r>
    </w:p>
    <w:p>
      <w:pPr>
        <w:pageBreakBefore w:val="0"/>
        <w:kinsoku/>
        <w:wordWrap/>
        <w:overflowPunct/>
        <w:topLinePunct w:val="0"/>
        <w:autoSpaceDE w:val="0"/>
        <w:autoSpaceDN w:val="0"/>
        <w:bidi w:val="0"/>
        <w:adjustRightInd w:val="0"/>
        <w:snapToGrid/>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p>
    <w:p>
      <w:pPr>
        <w:pageBreakBefore w:val="0"/>
        <w:kinsoku/>
        <w:wordWrap/>
        <w:overflowPunct/>
        <w:topLinePunct w:val="0"/>
        <w:autoSpaceDE w:val="0"/>
        <w:autoSpaceDN w:val="0"/>
        <w:bidi w:val="0"/>
        <w:adjustRightInd w:val="0"/>
        <w:snapToGrid/>
        <w:spacing w:line="400" w:lineRule="exact"/>
        <w:ind w:firstLine="480" w:firstLineChars="200"/>
        <w:outlineLvl w:val="0"/>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人名称：（盖章）</w:t>
      </w:r>
    </w:p>
    <w:p>
      <w:pPr>
        <w:pageBreakBefore w:val="0"/>
        <w:kinsoku/>
        <w:wordWrap/>
        <w:overflowPunct/>
        <w:topLinePunct w:val="0"/>
        <w:autoSpaceDE w:val="0"/>
        <w:autoSpaceDN w:val="0"/>
        <w:bidi w:val="0"/>
        <w:adjustRightInd w:val="0"/>
        <w:snapToGrid/>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法定代表人（或授权委托人）签字：</w:t>
      </w:r>
    </w:p>
    <w:p>
      <w:pPr>
        <w:pageBreakBefore w:val="0"/>
        <w:kinsoku/>
        <w:wordWrap/>
        <w:overflowPunct/>
        <w:topLinePunct w:val="0"/>
        <w:autoSpaceDE w:val="0"/>
        <w:autoSpaceDN w:val="0"/>
        <w:bidi w:val="0"/>
        <w:adjustRightInd w:val="0"/>
        <w:snapToGrid/>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日期：   年   月    日</w:t>
      </w:r>
    </w:p>
    <w:p>
      <w:pPr>
        <w:pageBreakBefore w:val="0"/>
        <w:kinsoku/>
        <w:wordWrap/>
        <w:overflowPunct/>
        <w:topLinePunct w:val="0"/>
        <w:autoSpaceDE w:val="0"/>
        <w:autoSpaceDN w:val="0"/>
        <w:bidi w:val="0"/>
        <w:adjustRightInd w:val="0"/>
        <w:snapToGrid/>
        <w:spacing w:line="400" w:lineRule="exact"/>
        <w:ind w:firstLine="42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i/>
          <w:kern w:val="0"/>
          <w:sz w:val="24"/>
          <w:szCs w:val="24"/>
          <w:u w:val="single"/>
        </w:rPr>
        <w:t>本声明之后请附上</w:t>
      </w:r>
      <w:r>
        <w:rPr>
          <w:rFonts w:hint="eastAsia" w:asciiTheme="minorEastAsia" w:hAnsiTheme="minorEastAsia" w:eastAsiaTheme="minorEastAsia" w:cstheme="minorEastAsia"/>
          <w:b/>
          <w:i/>
          <w:kern w:val="0"/>
          <w:sz w:val="24"/>
          <w:szCs w:val="24"/>
          <w:u w:val="single"/>
          <w:lang w:eastAsia="zh-CN"/>
        </w:rPr>
        <w:t>谈判</w:t>
      </w:r>
      <w:r>
        <w:rPr>
          <w:rFonts w:hint="eastAsia" w:asciiTheme="minorEastAsia" w:hAnsiTheme="minorEastAsia" w:eastAsiaTheme="minorEastAsia" w:cstheme="minorEastAsia"/>
          <w:b/>
          <w:i/>
          <w:kern w:val="0"/>
          <w:sz w:val="24"/>
          <w:szCs w:val="24"/>
          <w:u w:val="single"/>
        </w:rPr>
        <w:t>人公司简介，如果</w:t>
      </w:r>
      <w:r>
        <w:rPr>
          <w:rFonts w:hint="eastAsia" w:asciiTheme="minorEastAsia" w:hAnsiTheme="minorEastAsia" w:eastAsiaTheme="minorEastAsia" w:cstheme="minorEastAsia"/>
          <w:b/>
          <w:i/>
          <w:kern w:val="0"/>
          <w:sz w:val="24"/>
          <w:szCs w:val="24"/>
          <w:u w:val="single"/>
          <w:lang w:eastAsia="zh-CN"/>
        </w:rPr>
        <w:t>谈判</w:t>
      </w:r>
      <w:r>
        <w:rPr>
          <w:rFonts w:hint="eastAsia" w:asciiTheme="minorEastAsia" w:hAnsiTheme="minorEastAsia" w:eastAsiaTheme="minorEastAsia" w:cstheme="minorEastAsia"/>
          <w:b/>
          <w:i/>
          <w:kern w:val="0"/>
          <w:sz w:val="24"/>
          <w:szCs w:val="24"/>
          <w:u w:val="single"/>
        </w:rPr>
        <w:t>人为产品经销商的，还需附上产品制造商公司</w:t>
      </w:r>
    </w:p>
    <w:p>
      <w:pPr>
        <w:pageBreakBefore w:val="0"/>
        <w:kinsoku/>
        <w:wordWrap/>
        <w:overflowPunct/>
        <w:topLinePunct w:val="0"/>
        <w:bidi w:val="0"/>
        <w:snapToGrid/>
        <w:spacing w:line="400" w:lineRule="exact"/>
        <w:rPr>
          <w:rFonts w:hint="eastAsia" w:asciiTheme="minorEastAsia" w:hAnsiTheme="minorEastAsia" w:eastAsiaTheme="minorEastAsia" w:cstheme="minorEastAsia"/>
          <w:sz w:val="24"/>
          <w:szCs w:val="24"/>
        </w:rPr>
      </w:pPr>
    </w:p>
    <w:p>
      <w:pPr>
        <w:pageBreakBefore w:val="0"/>
        <w:kinsoku/>
        <w:wordWrap/>
        <w:overflowPunct/>
        <w:topLinePunct w:val="0"/>
        <w:bidi w:val="0"/>
        <w:snapToGrid/>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格式十三、</w:t>
      </w:r>
      <w:r>
        <w:rPr>
          <w:rFonts w:hint="eastAsia" w:asciiTheme="minorEastAsia" w:hAnsiTheme="minorEastAsia" w:eastAsiaTheme="minorEastAsia" w:cstheme="minorEastAsia"/>
          <w:b/>
          <w:bCs/>
          <w:sz w:val="24"/>
          <w:szCs w:val="24"/>
        </w:rPr>
        <w:t>企业声明函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残疾人福利性单位声明函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属于监狱企业的证明文件</w:t>
      </w:r>
      <w:r>
        <w:rPr>
          <w:rFonts w:hint="eastAsia" w:asciiTheme="minorEastAsia" w:hAnsiTheme="minorEastAsia" w:eastAsiaTheme="minorEastAsia" w:cstheme="minorEastAsia"/>
          <w:b/>
          <w:bCs/>
          <w:sz w:val="24"/>
          <w:szCs w:val="24"/>
          <w:lang w:eastAsia="zh-CN"/>
        </w:rPr>
        <w:t>（如是）</w:t>
      </w:r>
    </w:p>
    <w:p>
      <w:pPr>
        <w:pageBreakBefore w:val="0"/>
        <w:kinsoku/>
        <w:wordWrap/>
        <w:overflowPunct/>
        <w:topLinePunct w:val="0"/>
        <w:bidi w:val="0"/>
        <w:snapToGrid/>
        <w:spacing w:line="400" w:lineRule="exact"/>
        <w:rPr>
          <w:rFonts w:hint="eastAsia" w:asciiTheme="minorEastAsia" w:hAnsiTheme="minorEastAsia" w:eastAsiaTheme="minorEastAsia" w:cstheme="minorEastAsia"/>
          <w:b/>
          <w:sz w:val="24"/>
          <w:szCs w:val="24"/>
          <w:lang w:eastAsia="zh-CN"/>
        </w:rPr>
      </w:pPr>
    </w:p>
    <w:p>
      <w:pPr>
        <w:pageBreakBefore w:val="0"/>
        <w:kinsoku/>
        <w:wordWrap/>
        <w:overflowPunct/>
        <w:topLinePunct w:val="0"/>
        <w:bidi w:val="0"/>
        <w:snapToGrid/>
        <w:spacing w:line="400" w:lineRule="exact"/>
        <w:rPr>
          <w:rFonts w:hint="eastAsia" w:asciiTheme="minorEastAsia" w:hAnsiTheme="minorEastAsia" w:eastAsiaTheme="minorEastAsia" w:cstheme="minorEastAsia"/>
          <w:b/>
          <w:bCs w:val="0"/>
          <w:sz w:val="24"/>
          <w:szCs w:val="24"/>
          <w:u w:val="none"/>
          <w:lang w:val="en-US" w:eastAsia="zh-CN"/>
        </w:rPr>
      </w:pPr>
      <w:r>
        <w:rPr>
          <w:rFonts w:hint="eastAsia" w:asciiTheme="minorEastAsia" w:hAnsiTheme="minorEastAsia" w:eastAsiaTheme="minorEastAsia" w:cstheme="minorEastAsia"/>
          <w:b/>
          <w:bCs w:val="0"/>
          <w:sz w:val="24"/>
          <w:szCs w:val="24"/>
          <w:lang w:eastAsia="zh-CN"/>
        </w:rPr>
        <w:t>格式十四、其他与本项目有关的材料</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8"/>
          <w:jc w:val="center"/>
        </w:pPr>
        <w:r>
          <w:rPr>
            <w:rFonts w:hint="eastAsia"/>
          </w:rPr>
          <w:t>24</w:t>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r>
      <w:rPr>
        <w:rFonts w:hint="eastAsia"/>
        <w:sz w:val="24"/>
        <w:szCs w:val="24"/>
      </w:rPr>
      <w:t>南京市溧水区人民医院</w:t>
    </w:r>
    <w:r>
      <w:rPr>
        <w:rFonts w:hint="eastAsia"/>
        <w:sz w:val="24"/>
        <w:szCs w:val="24"/>
        <w:lang w:eastAsia="zh-CN"/>
      </w:rPr>
      <w:t>谈判</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1706C"/>
    <w:multiLevelType w:val="singleLevel"/>
    <w:tmpl w:val="9751706C"/>
    <w:lvl w:ilvl="0" w:tentative="0">
      <w:start w:val="4"/>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8F9285E"/>
    <w:multiLevelType w:val="singleLevel"/>
    <w:tmpl w:val="58F9285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662727DA"/>
    <w:rsid w:val="06110369"/>
    <w:rsid w:val="070E2AFA"/>
    <w:rsid w:val="07114690"/>
    <w:rsid w:val="0A7619A6"/>
    <w:rsid w:val="0AE87F07"/>
    <w:rsid w:val="0E5E4116"/>
    <w:rsid w:val="0F753717"/>
    <w:rsid w:val="0F9C130A"/>
    <w:rsid w:val="11533D52"/>
    <w:rsid w:val="126A7BA3"/>
    <w:rsid w:val="194F322A"/>
    <w:rsid w:val="1DAB6FE5"/>
    <w:rsid w:val="25296339"/>
    <w:rsid w:val="262838FD"/>
    <w:rsid w:val="27AB7D74"/>
    <w:rsid w:val="28E4547F"/>
    <w:rsid w:val="2949677C"/>
    <w:rsid w:val="29D16D77"/>
    <w:rsid w:val="2DB41456"/>
    <w:rsid w:val="32EB6FD2"/>
    <w:rsid w:val="3E5B7058"/>
    <w:rsid w:val="3FEA0C71"/>
    <w:rsid w:val="41CF1DB9"/>
    <w:rsid w:val="42D56FE2"/>
    <w:rsid w:val="435C2D37"/>
    <w:rsid w:val="45F8417E"/>
    <w:rsid w:val="47A165DC"/>
    <w:rsid w:val="4913179A"/>
    <w:rsid w:val="4CB56914"/>
    <w:rsid w:val="4DE4148C"/>
    <w:rsid w:val="50C02208"/>
    <w:rsid w:val="51735001"/>
    <w:rsid w:val="56832507"/>
    <w:rsid w:val="57F10A2D"/>
    <w:rsid w:val="5B984719"/>
    <w:rsid w:val="5FED5F7E"/>
    <w:rsid w:val="61973639"/>
    <w:rsid w:val="61EB0B08"/>
    <w:rsid w:val="662727DA"/>
    <w:rsid w:val="67600FD9"/>
    <w:rsid w:val="72200435"/>
    <w:rsid w:val="72565CFD"/>
    <w:rsid w:val="74BD4292"/>
    <w:rsid w:val="7726029C"/>
    <w:rsid w:val="7CE303CB"/>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line="360" w:lineRule="auto"/>
      <w:jc w:val="both"/>
      <w:outlineLvl w:val="0"/>
    </w:pPr>
    <w:rPr>
      <w:b/>
      <w:bCs/>
      <w:sz w:val="28"/>
      <w:szCs w:val="24"/>
    </w:rPr>
  </w:style>
  <w:style w:type="paragraph" w:styleId="4">
    <w:name w:val="heading 2"/>
    <w:basedOn w:val="1"/>
    <w:next w:val="1"/>
    <w:unhideWhenUsed/>
    <w:qFormat/>
    <w:uiPriority w:val="9"/>
    <w:pPr>
      <w:keepNext/>
      <w:keepLines/>
      <w:spacing w:before="50" w:beforeLines="50" w:line="360" w:lineRule="auto"/>
      <w:outlineLvl w:val="1"/>
    </w:pPr>
    <w:rPr>
      <w:rFonts w:asciiTheme="majorHAnsi" w:hAnsiTheme="majorHAnsi" w:eastAsiaTheme="majorEastAsia" w:cstheme="majorBidi"/>
      <w:b/>
      <w:bCs/>
      <w:sz w:val="24"/>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38"/>
    </w:pPr>
    <w:rPr>
      <w:rFonts w:ascii="宋体" w:hAnsi="宋体" w:eastAsia="宋体" w:cs="宋体"/>
      <w:sz w:val="21"/>
      <w:szCs w:val="21"/>
      <w:lang w:val="en-US" w:eastAsia="zh-CN" w:bidi="ar-SA"/>
    </w:rPr>
  </w:style>
  <w:style w:type="paragraph" w:styleId="7">
    <w:name w:val="index 4"/>
    <w:basedOn w:val="1"/>
    <w:next w:val="1"/>
    <w:semiHidden/>
    <w:qFormat/>
    <w:uiPriority w:val="0"/>
    <w:pPr>
      <w:ind w:left="126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2"/>
    <w:qFormat/>
    <w:uiPriority w:val="99"/>
    <w:pPr>
      <w:spacing w:line="360" w:lineRule="auto"/>
      <w:ind w:firstLine="420" w:firstLineChars="100"/>
    </w:pPr>
    <w:rPr>
      <w:rFonts w:ascii="Times New Roman"/>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1"/>
    <w:pPr>
      <w:ind w:left="1138" w:firstLine="419"/>
    </w:pPr>
    <w:rPr>
      <w:rFonts w:ascii="宋体" w:hAnsi="宋体" w:eastAsia="宋体" w:cs="宋体"/>
      <w:lang w:val="en-US" w:eastAsia="zh-CN" w:bidi="ar-SA"/>
    </w:rPr>
  </w:style>
  <w:style w:type="paragraph" w:customStyle="1" w:styleId="15">
    <w:name w:val="Table Paragraph"/>
    <w:basedOn w:val="1"/>
    <w:qFormat/>
    <w:uiPriority w:val="1"/>
    <w:rPr>
      <w:rFonts w:ascii="宋体" w:hAnsi="宋体" w:eastAsia="宋体" w:cs="宋体"/>
      <w:lang w:val="en-US" w:eastAsia="zh-CN" w:bidi="ar-SA"/>
    </w:rPr>
  </w:style>
  <w:style w:type="paragraph" w:customStyle="1" w:styleId="16">
    <w:name w:val="二级无"/>
    <w:basedOn w:val="17"/>
    <w:qFormat/>
    <w:uiPriority w:val="0"/>
    <w:pPr>
      <w:spacing w:before="0" w:beforeLines="0" w:after="0" w:afterLines="0"/>
    </w:pPr>
    <w:rPr>
      <w:rFonts w:ascii="宋体" w:eastAsia="宋体"/>
    </w:rPr>
  </w:style>
  <w:style w:type="paragraph" w:customStyle="1" w:styleId="17">
    <w:name w:val="二级条标题"/>
    <w:basedOn w:val="18"/>
    <w:next w:val="19"/>
    <w:qFormat/>
    <w:uiPriority w:val="0"/>
    <w:pPr>
      <w:numPr>
        <w:ilvl w:val="2"/>
        <w:numId w:val="1"/>
      </w:numPr>
      <w:spacing w:before="50" w:after="50"/>
      <w:outlineLvl w:val="3"/>
    </w:pPr>
  </w:style>
  <w:style w:type="paragraph" w:customStyle="1" w:styleId="18">
    <w:name w:val="一级条标题"/>
    <w:next w:val="1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表"/>
    <w:basedOn w:val="2"/>
    <w:qFormat/>
    <w:uiPriority w:val="0"/>
    <w:pPr>
      <w:tabs>
        <w:tab w:val="left" w:pos="662"/>
      </w:tabs>
      <w:ind w:firstLine="0" w:firstLineChars="0"/>
      <w:jc w:val="center"/>
    </w:pPr>
    <w:rPr>
      <w:rFonts w:ascii="Times New Roman" w:hAnsi="Times New Roman"/>
      <w:b/>
      <w:sz w:val="21"/>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customStyle="1" w:styleId="22">
    <w:name w:val="Body text|1"/>
    <w:basedOn w:val="1"/>
    <w:qFormat/>
    <w:uiPriority w:val="0"/>
    <w:pPr>
      <w:widowControl w:val="0"/>
      <w:shd w:val="clear" w:color="auto" w:fill="auto"/>
      <w:spacing w:line="463"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21276</Words>
  <Characters>22860</Characters>
  <Lines>0</Lines>
  <Paragraphs>0</Paragraphs>
  <TotalTime>8</TotalTime>
  <ScaleCrop>false</ScaleCrop>
  <LinksUpToDate>false</LinksUpToDate>
  <CharactersWithSpaces>24087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秦婕</cp:lastModifiedBy>
  <dcterms:modified xsi:type="dcterms:W3CDTF">2023-01-05T08:55:36Z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62BF93AEE4264975813A8CF2F12C5DE8</vt:lpwstr>
  </property>
</Properties>
</file>