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960" w:firstLineChars="900"/>
        <w:rPr>
          <w:rFonts w:hint="eastAsia"/>
          <w:kern w:val="2"/>
          <w:sz w:val="28"/>
          <w:szCs w:val="28"/>
          <w:highlight w:val="none"/>
          <w:u w:val="none"/>
        </w:rPr>
      </w:pPr>
      <w:bookmarkStart w:id="0" w:name="_Toc35393797"/>
      <w:bookmarkStart w:id="1" w:name="_Toc28359011"/>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798"/>
      <w:bookmarkStart w:id="4" w:name="_Toc28359012"/>
      <w:bookmarkStart w:id="5" w:name="_Toc28359089"/>
      <w:bookmarkStart w:id="6" w:name="_Toc3539362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val="en-US" w:eastAsia="zh-CN"/>
        </w:rPr>
        <w:t>儿童综合素质评测干预系统</w:t>
      </w:r>
      <w:r>
        <w:rPr>
          <w:rFonts w:hint="eastAsia" w:asciiTheme="minorEastAsia" w:hAnsiTheme="minorEastAsia" w:eastAsiaTheme="minorEastAsia" w:cstheme="minorEastAsia"/>
          <w:sz w:val="24"/>
          <w:szCs w:val="24"/>
          <w:highlight w:val="none"/>
          <w:u w:val="none"/>
        </w:rPr>
        <w:t>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25</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9</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X006</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val="en-US" w:eastAsia="zh-CN"/>
        </w:rPr>
        <w:t>儿童综合素质评测干预系统</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0EFD6E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最</w:t>
      </w:r>
      <w:r>
        <w:rPr>
          <w:rFonts w:hint="eastAsia" w:asciiTheme="minorEastAsia" w:hAnsiTheme="minorEastAsia" w:eastAsiaTheme="minorEastAsia" w:cstheme="minorEastAsia"/>
          <w:color w:val="000000"/>
          <w:kern w:val="0"/>
          <w:sz w:val="24"/>
          <w:szCs w:val="24"/>
          <w:highlight w:val="none"/>
          <w:u w:val="none"/>
          <w:lang w:val="en-US" w:eastAsia="zh-CN"/>
        </w:rPr>
        <w:t>高</w:t>
      </w:r>
      <w:r>
        <w:rPr>
          <w:rFonts w:hint="eastAsia" w:asciiTheme="minorEastAsia" w:hAnsiTheme="minorEastAsia" w:eastAsiaTheme="minorEastAsia" w:cstheme="minorEastAsia"/>
          <w:color w:val="000000"/>
          <w:kern w:val="0"/>
          <w:sz w:val="24"/>
          <w:szCs w:val="24"/>
          <w:highlight w:val="none"/>
          <w:u w:val="none"/>
        </w:rPr>
        <w:t>限价：</w:t>
      </w:r>
      <w:bookmarkStart w:id="7" w:name="_Toc28359090"/>
      <w:bookmarkStart w:id="8" w:name="_Toc28359013"/>
      <w:bookmarkStart w:id="9" w:name="_Toc35393799"/>
      <w:bookmarkStart w:id="10" w:name="_Toc35393630"/>
      <w:r>
        <w:rPr>
          <w:rFonts w:hint="eastAsia" w:asciiTheme="minorEastAsia" w:hAnsiTheme="minorEastAsia" w:eastAsiaTheme="minorEastAsia" w:cstheme="minorEastAsia"/>
          <w:color w:val="000000"/>
          <w:kern w:val="0"/>
          <w:sz w:val="24"/>
          <w:szCs w:val="24"/>
          <w:highlight w:val="none"/>
          <w:u w:val="none"/>
          <w:lang w:val="en-US" w:eastAsia="zh-CN"/>
        </w:rPr>
        <w:t>4万</w:t>
      </w:r>
    </w:p>
    <w:p w14:paraId="3B7E8B4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35393801"/>
      <w:bookmarkStart w:id="12" w:name="_Toc28359092"/>
      <w:bookmarkStart w:id="13" w:name="_Toc28359015"/>
      <w:bookmarkStart w:id="14" w:name="_Toc35393632"/>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0ED25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33CEBC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66486D1D">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sz w:val="24"/>
          <w:szCs w:val="24"/>
          <w:highlight w:val="none"/>
          <w:lang w:val="en-US" w:eastAsia="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25</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9</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803"/>
      <w:bookmarkStart w:id="16" w:name="_Toc28359094"/>
      <w:bookmarkStart w:id="17" w:name="_Toc28359017"/>
      <w:bookmarkStart w:id="18" w:name="_Toc3539363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w:t>
      </w:r>
      <w:bookmarkStart w:id="23" w:name="_GoBack"/>
      <w:bookmarkEnd w:id="23"/>
      <w:r>
        <w:rPr>
          <w:rFonts w:hint="eastAsia" w:asciiTheme="minorEastAsia" w:hAnsiTheme="minorEastAsia" w:eastAsiaTheme="minorEastAsia" w:cstheme="minorEastAsia"/>
          <w:b w:val="0"/>
          <w:bCs w:val="0"/>
          <w:sz w:val="24"/>
          <w:szCs w:val="24"/>
          <w:highlight w:val="none"/>
          <w:u w:val="none"/>
        </w:rPr>
        <w:t>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w:t>
      </w:r>
      <w:r>
        <w:rPr>
          <w:rFonts w:hint="eastAsia" w:asciiTheme="minorEastAsia" w:hAnsiTheme="minorEastAsia" w:eastAsiaTheme="minorEastAsia" w:cstheme="minorEastAsia"/>
          <w:b w:val="0"/>
          <w:bCs w:val="0"/>
          <w:sz w:val="24"/>
          <w:szCs w:val="24"/>
          <w:highlight w:val="none"/>
          <w:u w:val="none"/>
          <w:lang w:val="en-US" w:eastAsia="zh-CN"/>
        </w:rPr>
        <w:t>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28359095"/>
      <w:bookmarkStart w:id="20" w:name="_Toc35393805"/>
      <w:bookmarkStart w:id="21" w:name="_Toc35393636"/>
      <w:bookmarkStart w:id="22" w:name="_Toc28359018"/>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名    称：</w:t>
      </w:r>
      <w:r>
        <w:rPr>
          <w:rFonts w:hint="eastAsia" w:asciiTheme="minorEastAsia" w:hAnsiTheme="minorEastAsia" w:eastAsiaTheme="minorEastAsia" w:cstheme="minorEastAsia"/>
          <w:b w:val="0"/>
          <w:bCs w:val="0"/>
          <w:sz w:val="24"/>
          <w:szCs w:val="24"/>
          <w:highlight w:val="none"/>
          <w:u w:val="none"/>
          <w:lang w:val="en-US" w:eastAsia="zh-CN"/>
        </w:rPr>
        <w:t xml:space="preserve"> </w:t>
      </w:r>
      <w:r>
        <w:rPr>
          <w:rFonts w:hint="eastAsia" w:asciiTheme="minorEastAsia" w:hAnsiTheme="minorEastAsia" w:eastAsiaTheme="minorEastAsia" w:cstheme="minorEastAsia"/>
          <w:b w:val="0"/>
          <w:bCs w:val="0"/>
          <w:sz w:val="24"/>
          <w:szCs w:val="24"/>
          <w:highlight w:val="none"/>
          <w:u w:val="none"/>
        </w:rPr>
        <w:t xml:space="preserve"> </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19王主任</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val="en-US" w:eastAsia="zh-CN"/>
        </w:rPr>
        <w:t>信息科</w:t>
      </w:r>
      <w:r>
        <w:rPr>
          <w:rFonts w:hint="eastAsia" w:asciiTheme="minorEastAsia" w:hAnsiTheme="minorEastAsia" w:eastAsiaTheme="minorEastAsia" w:cstheme="minorEastAsia"/>
          <w:b w:val="0"/>
          <w:bCs w:val="0"/>
          <w:sz w:val="24"/>
          <w:szCs w:val="24"/>
          <w:highlight w:val="none"/>
          <w:u w:val="none"/>
        </w:rPr>
        <w:t>）</w:t>
      </w:r>
    </w:p>
    <w:p w14:paraId="5D750497">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025-56232023秦老师（采购中心）</w:t>
      </w:r>
    </w:p>
    <w:p w14:paraId="69DB7222">
      <w:pPr>
        <w:pStyle w:val="12"/>
        <w:rPr>
          <w:rFonts w:hint="eastAsia"/>
          <w:lang w:eastAsia="zh-CN"/>
        </w:rPr>
      </w:pPr>
    </w:p>
    <w:p w14:paraId="6321DF40">
      <w:pPr>
        <w:rPr>
          <w:rFonts w:hint="eastAsia"/>
          <w:lang w:eastAsia="zh-CN"/>
        </w:rPr>
      </w:pPr>
    </w:p>
    <w:p w14:paraId="62B32942">
      <w:pPr>
        <w:pStyle w:val="12"/>
        <w:rPr>
          <w:rFonts w:hint="eastAsia"/>
          <w:lang w:eastAsia="zh-CN"/>
        </w:rPr>
      </w:pPr>
    </w:p>
    <w:p w14:paraId="1CF6DA32">
      <w:pPr>
        <w:rPr>
          <w:rFonts w:hint="eastAsia"/>
          <w:lang w:eastAsia="zh-CN"/>
        </w:rPr>
      </w:pPr>
    </w:p>
    <w:p w14:paraId="788718B6">
      <w:pPr>
        <w:pStyle w:val="12"/>
        <w:rPr>
          <w:rFonts w:hint="eastAsia"/>
          <w:lang w:eastAsia="zh-CN"/>
        </w:rPr>
      </w:pPr>
    </w:p>
    <w:p w14:paraId="7C8837A1">
      <w:pPr>
        <w:numPr>
          <w:ilvl w:val="0"/>
          <w:numId w:val="4"/>
        </w:numPr>
        <w:spacing w:line="400" w:lineRule="exact"/>
        <w:ind w:firstLine="2530" w:firstLineChars="900"/>
        <w:rPr>
          <w:rFonts w:hint="default" w:asciiTheme="minorEastAsia" w:hAnsiTheme="minorEastAsia" w:eastAsiaTheme="minorEastAsia" w:cstheme="minorEastAsia"/>
          <w:b/>
          <w:bCs/>
          <w:sz w:val="28"/>
          <w:szCs w:val="28"/>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 xml:space="preserve">  采购需求</w:t>
      </w:r>
    </w:p>
    <w:p w14:paraId="68BA55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一、技术条款</w:t>
      </w:r>
      <w:r>
        <w:rPr>
          <w:rFonts w:hint="eastAsia" w:asciiTheme="minorEastAsia" w:hAnsiTheme="minorEastAsia" w:eastAsiaTheme="minorEastAsia" w:cstheme="minorEastAsia"/>
          <w:b/>
          <w:bCs/>
          <w:sz w:val="24"/>
          <w:szCs w:val="24"/>
          <w:highlight w:val="none"/>
          <w:u w:val="single"/>
          <w:lang w:val="en-US" w:eastAsia="zh-CN"/>
        </w:rPr>
        <w:t>（根据此项内容填写《技术条款响应偏离表》，要求逐条响应）</w:t>
      </w:r>
    </w:p>
    <w:p w14:paraId="0D3A5D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（一）系统至少包含7项功能：儿童生长发育测评、儿童智力测评、儿童心理健康测评、儿童注意力测评、儿童膳食营养指导、常规检查参考值与常用药查询、儿童健康检查记录表</w:t>
      </w:r>
    </w:p>
    <w:p w14:paraId="0660F6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（二）系统要求</w:t>
      </w:r>
    </w:p>
    <w:p w14:paraId="28265C2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1）档案管理：建档信息包含姓名、性别、身高、体重、出生日期等，可进行档案的新增和修改</w:t>
      </w:r>
    </w:p>
    <w:p w14:paraId="2B37011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2）数据查询：可对数据进行多条件搜索、编辑、导出等管理；可通过多种方式检索病案</w:t>
      </w:r>
    </w:p>
    <w:p w14:paraId="6B6C56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管理监测数据；历次接诊信息、历次检查项目及检测结果。</w:t>
      </w:r>
    </w:p>
    <w:p w14:paraId="3F0A0B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1.儿童智力测试至少包含：</w:t>
      </w:r>
    </w:p>
    <w:p w14:paraId="41C4D7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1）DST儿童智能发育筛查；</w:t>
      </w:r>
    </w:p>
    <w:p w14:paraId="632AF08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2）Gesell量表；</w:t>
      </w:r>
    </w:p>
    <w:p w14:paraId="07454D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3）韦氏幼儿智力量表C-WYCSI；</w:t>
      </w:r>
    </w:p>
    <w:p w14:paraId="3C664E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4）智能综合测试；</w:t>
      </w:r>
    </w:p>
    <w:p w14:paraId="4C22F2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5）联合瑞文CRT测试；</w:t>
      </w:r>
    </w:p>
    <w:p w14:paraId="764F086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6）丹佛婴幼儿智能发育筛查；</w:t>
      </w:r>
    </w:p>
    <w:p w14:paraId="5B894DF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7）小儿神经心理发育检查；</w:t>
      </w:r>
    </w:p>
    <w:p w14:paraId="54D1396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8）绘人测验DPT；</w:t>
      </w:r>
    </w:p>
    <w:p w14:paraId="1413E68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9）小儿神经心理发育检查</w:t>
      </w:r>
    </w:p>
    <w:p w14:paraId="474F94E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2.儿童注意力训练至少包含：</w:t>
      </w:r>
    </w:p>
    <w:p w14:paraId="28F3CD5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1）注意力图形测试（4-16岁）</w:t>
      </w:r>
    </w:p>
    <w:p w14:paraId="2BC0444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2）注意力字母测试（4-16岁）</w:t>
      </w:r>
    </w:p>
    <w:p w14:paraId="625116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3）注意力数字测试（4-16岁）</w:t>
      </w:r>
    </w:p>
    <w:p w14:paraId="6DA16B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4）舒尔特方格训练（5-16岁）</w:t>
      </w:r>
    </w:p>
    <w:p w14:paraId="034355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 儿童注意力家长评定量表</w:t>
      </w:r>
    </w:p>
    <w:p w14:paraId="38F56E4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 儿童注意力自我评定量表</w:t>
      </w:r>
    </w:p>
    <w:p w14:paraId="62DBC7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3.儿童生长发育测评至少包含：</w:t>
      </w:r>
    </w:p>
    <w:p w14:paraId="7ED095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1））色盲、色弱测试     </w:t>
      </w:r>
    </w:p>
    <w:p w14:paraId="4ED6014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2）体格发育评价</w:t>
      </w:r>
    </w:p>
    <w:p w14:paraId="0E5ED74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3）未来身高预测</w:t>
      </w:r>
    </w:p>
    <w:p w14:paraId="5E983B5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4）体格发育（历史记录）</w:t>
      </w:r>
    </w:p>
    <w:p w14:paraId="37CDD0E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5）Peabody运动发育（0-5岁）</w:t>
      </w:r>
    </w:p>
    <w:p w14:paraId="1ED8186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6）色觉检查</w:t>
      </w:r>
    </w:p>
    <w:p w14:paraId="55DB1D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4.儿童心理健康测评至少包含：</w:t>
      </w:r>
    </w:p>
    <w:p w14:paraId="4362ABF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1）感觉统合测试（0-12岁）</w:t>
      </w:r>
    </w:p>
    <w:p w14:paraId="530859F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*2）0岁~6岁儿童发育行为评估量表（儿心量表-II）</w:t>
      </w:r>
    </w:p>
    <w:p w14:paraId="37492AE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*3）婴幼儿孤独症筛查量表（M-CHAT)</w:t>
      </w:r>
    </w:p>
    <w:p w14:paraId="5C4B03D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4）3-7岁儿童气质量表</w:t>
      </w:r>
    </w:p>
    <w:p w14:paraId="7F3833C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5）儿童孤独症评定量表（CARS）</w:t>
      </w:r>
    </w:p>
    <w:p w14:paraId="3674EC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6）儿童自我意识量表（8-16岁）</w:t>
      </w:r>
    </w:p>
    <w:p w14:paraId="448FEC3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7）上海市儿童多动症行为量表</w:t>
      </w:r>
    </w:p>
    <w:p w14:paraId="1F4689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8）美国康奈尔儿童多动症行为诊断量表</w:t>
      </w:r>
    </w:p>
    <w:p w14:paraId="6B8FD3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9）Rutter儿童行为问卷（父母问卷）</w:t>
      </w:r>
    </w:p>
    <w:p w14:paraId="0FB0488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10）Rutter儿童行为问卷（教师问卷）</w:t>
      </w:r>
    </w:p>
    <w:p w14:paraId="7B73734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11）心理健康诊断测验（MHT）</w:t>
      </w:r>
    </w:p>
    <w:p w14:paraId="7402F2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12）青少年忧郁情绪自我检视表</w:t>
      </w:r>
    </w:p>
    <w:p w14:paraId="3D779E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13）网络成瘾自测</w:t>
      </w:r>
    </w:p>
    <w:p w14:paraId="2AD01A0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14）学习障碍儿童筛查量表（PRS）（5-15）岁</w:t>
      </w:r>
    </w:p>
    <w:p w14:paraId="3D7EFA2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15）Achenbach儿童行为量表（CBCL）（4-16岁）</w:t>
      </w:r>
    </w:p>
    <w:p w14:paraId="79ED343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16）婴儿-初中学生社会生活能力量表（S-M）（6个月-14岁）</w:t>
      </w:r>
    </w:p>
    <w:p w14:paraId="2448C7D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17）新生儿20项行为神经测查方法（NBNA）</w:t>
      </w:r>
    </w:p>
    <w:p w14:paraId="20DA5D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18）SNAP-IⅣ评定量表（6-18岁）</w:t>
      </w:r>
    </w:p>
    <w:p w14:paraId="1A15ADF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19）Conners教师评定量表（TRS）（3-17岁）</w:t>
      </w:r>
    </w:p>
    <w:p w14:paraId="47A4E37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20）Conners父母评定量表（PSQ）（3-17岁）</w:t>
      </w:r>
    </w:p>
    <w:p w14:paraId="03D26F2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21）长处和困难问卷（老师版）（4-16岁）</w:t>
      </w:r>
    </w:p>
    <w:p w14:paraId="2FAC959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22）长处和困难问卷（家长版）（4-16岁）</w:t>
      </w:r>
    </w:p>
    <w:p w14:paraId="5822A3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23）长处和困难问卷（学生版）（11-17岁）</w:t>
      </w:r>
    </w:p>
    <w:p w14:paraId="06E03E1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24）孤独症行为量表（ABC）</w:t>
      </w:r>
    </w:p>
    <w:p w14:paraId="5172CCF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25）家庭环境量表（FES）</w:t>
      </w:r>
    </w:p>
    <w:p w14:paraId="4007B60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26）艾森克人格问卷（7-15岁）（EPQ）</w:t>
      </w:r>
    </w:p>
    <w:p w14:paraId="6A3147C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27）儿童社交焦虑心理量表（SASC）（6-14岁）</w:t>
      </w:r>
    </w:p>
    <w:p w14:paraId="36C5D43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28）抑郁状态问卷（DSI）</w:t>
      </w:r>
    </w:p>
    <w:p w14:paraId="105360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29）抑郁自评量表（SDS）</w:t>
      </w:r>
    </w:p>
    <w:p w14:paraId="2DA3481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30）儿童抑郁自评量表（CES-DC）（6-18）</w:t>
      </w:r>
    </w:p>
    <w:p w14:paraId="0215C1F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31）青少年生活事件量表（11-18岁）</w:t>
      </w:r>
    </w:p>
    <w:p w14:paraId="2AF26CA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32）学龄前儿童活动调查表（PSAI）（3-5岁）</w:t>
      </w:r>
    </w:p>
    <w:p w14:paraId="03539DB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33）Sarason考试焦虑量表</w:t>
      </w:r>
    </w:p>
    <w:p w14:paraId="12E9F1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34）汉密尔顿抑郁量表（HAMD）</w:t>
      </w:r>
    </w:p>
    <w:p w14:paraId="0AD848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35）威廉斯创造力倾向测验量表</w:t>
      </w:r>
    </w:p>
    <w:p w14:paraId="1C3E1E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36）焦虑自评量表（SAS）</w:t>
      </w:r>
    </w:p>
    <w:p w14:paraId="064229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37）克氏孤独症行为量表（CABS）</w:t>
      </w:r>
    </w:p>
    <w:p w14:paraId="1F269B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38）1-3岁儿童气质量表</w:t>
      </w:r>
    </w:p>
    <w:p w14:paraId="4D244A3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39）1-4月小婴儿气质量表</w:t>
      </w:r>
    </w:p>
    <w:p w14:paraId="3B55F4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40）5-11月婴儿气质量表</w:t>
      </w:r>
    </w:p>
    <w:p w14:paraId="454170C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41）卡特尔16种人格因素问卷</w:t>
      </w:r>
    </w:p>
    <w:p w14:paraId="7E59A72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42）症状自评量表（SCL-90 ）（16岁以上）</w:t>
      </w:r>
    </w:p>
    <w:p w14:paraId="355166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43）霍兰德职业兴趣测量表</w:t>
      </w:r>
    </w:p>
    <w:p w14:paraId="601373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44）儿童神经心理行为检查量表2016版</w:t>
      </w:r>
    </w:p>
    <w:p w14:paraId="103189A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45）儿童睡眠习惯问卷（3岁以上）</w:t>
      </w:r>
    </w:p>
    <w:p w14:paraId="7A7E4D9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46）学前儿童入学能力测评（4-7岁）</w:t>
      </w:r>
    </w:p>
    <w:p w14:paraId="46D112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47）ADHD评定量表</w:t>
      </w:r>
    </w:p>
    <w:p w14:paraId="416B72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48）耶鲁综合抽动严重程度量表（YGTSS）</w:t>
      </w:r>
    </w:p>
    <w:p w14:paraId="10C111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49）0-2岁婴幼儿睡眠评估问卷</w:t>
      </w:r>
    </w:p>
    <w:p w14:paraId="4737BFD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50）儿童抽动症诊断标准（2-20岁）</w:t>
      </w:r>
    </w:p>
    <w:p w14:paraId="2E9994E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51）VOJTA姿势反射量表（0-1岁）</w:t>
      </w:r>
    </w:p>
    <w:p w14:paraId="7B5BB55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52）0~1岁神经运动检查20项（INMA）</w:t>
      </w:r>
    </w:p>
    <w:p w14:paraId="4EE5EF0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53）Alberta婴儿运动量表</w:t>
      </w:r>
    </w:p>
    <w:p w14:paraId="37BEFE1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54）躁狂量表（BRMS）</w:t>
      </w:r>
    </w:p>
    <w:p w14:paraId="05FD6E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55）简明精神病量表（BPRS）</w:t>
      </w:r>
    </w:p>
    <w:p w14:paraId="1F3BC6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 儿童膳食营养指导至少包含：</w:t>
      </w:r>
    </w:p>
    <w:p w14:paraId="2E8B996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1）0-6岁膳食营养指导</w:t>
      </w:r>
    </w:p>
    <w:p w14:paraId="7DF495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2）0-6岁宝宝的右脑开发方案</w:t>
      </w:r>
    </w:p>
    <w:p w14:paraId="09D421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3）0-6岁儿童发展的一些关键期</w:t>
      </w:r>
    </w:p>
    <w:p w14:paraId="3C19292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4）0-6岁各阶段小儿智能开发</w:t>
      </w:r>
    </w:p>
    <w:p w14:paraId="21B8DBE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5）0-6岁儿童生长发育指标</w:t>
      </w:r>
    </w:p>
    <w:p w14:paraId="59CC74B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6）儿童生长发育指标</w:t>
      </w:r>
    </w:p>
    <w:p w14:paraId="0685CDA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7）0-3岁幼儿语言能力发展的时间和特点</w:t>
      </w:r>
    </w:p>
    <w:p w14:paraId="40FDB4F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6.其他</w:t>
      </w:r>
    </w:p>
    <w:p w14:paraId="103F92A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1）*胃肠道症状评定量表(GSRS)</w:t>
      </w:r>
    </w:p>
    <w:p w14:paraId="4EC416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2）*Bristol大便分类评分表</w:t>
      </w:r>
    </w:p>
    <w:p w14:paraId="13C575B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7.*检测报告模版：具有医嘱模版和自定义模版、具有自动生成检测结果功能</w:t>
      </w:r>
    </w:p>
    <w:p w14:paraId="18FB03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u w:val="single"/>
          <w:lang w:val="en-US" w:eastAsia="zh-CN"/>
        </w:rPr>
        <w:t>*号条款是必须项，如有一条*号不响应，视为无效投标。</w:t>
      </w:r>
    </w:p>
    <w:p w14:paraId="69723C4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p>
    <w:p w14:paraId="421DE49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lang w:val="en-US" w:eastAsia="zh-CN"/>
        </w:rPr>
        <w:t>二、商务条款</w:t>
      </w:r>
      <w:r>
        <w:rPr>
          <w:rFonts w:hint="eastAsia" w:asciiTheme="minorEastAsia" w:hAnsiTheme="minorEastAsia" w:eastAsiaTheme="minorEastAsia" w:cstheme="minorEastAsia"/>
          <w:b/>
          <w:bCs/>
          <w:sz w:val="24"/>
          <w:szCs w:val="24"/>
          <w:highlight w:val="none"/>
          <w:u w:val="single"/>
          <w:lang w:val="en-US" w:eastAsia="zh-CN"/>
        </w:rPr>
        <w:t>（根据此项内容填写《商务条款响应偏离表》，要求逐条响应）</w:t>
      </w:r>
    </w:p>
    <w:p w14:paraId="0036DF6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（一）付款方式：合同签订后且系统通过甲方验收合格后，乙方开具符合国家规定的发票，甲方根据院内正常流程支付全款。</w:t>
      </w:r>
    </w:p>
    <w:p w14:paraId="3240971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（二）服务要求：</w:t>
      </w:r>
    </w:p>
    <w:p w14:paraId="0C64AC7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 xml:space="preserve">（1）乙方提供的系统不涉及相关版权侵权行为，医院能够合法、合理使用。 </w:t>
      </w:r>
    </w:p>
    <w:p w14:paraId="142634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质保期：原厂质保≥3年（质保期自甲方验收合格日起计算），保修期后提供终身维修和维护服务，在免费维护期内，乙方应成立专门的技术支持和售后服务小组，提供完善周到的本地化服务，具有7★24小时的维护支持能力以及优先服务级别。在甲方提出服务要求后，能做到30分钟响应，2 小时上门，一般故障24 小时内排除，重大故障48小时内排除，若无法在规定时间内修复故障由成交单位免费提供相应备件确保系统正常运行。不得以“密码”制约用户。如用户工作和维修需要，应无条件免费开放密码。</w:t>
      </w:r>
    </w:p>
    <w:p w14:paraId="013908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p>
    <w:p w14:paraId="0A971A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（3）甲方在服务期内，如遇系统功能迭代，提供技术保障、支持。</w:t>
      </w:r>
    </w:p>
    <w:p w14:paraId="78FC61C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（4）乙方对系统提供技术支持，并对甲方操作人员提供相关软件操作培训，并协助医院完成相关软件培训服务工作。</w:t>
      </w:r>
    </w:p>
    <w:p w14:paraId="308F6F0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（四）违约条款</w:t>
      </w:r>
    </w:p>
    <w:p w14:paraId="7B0AD82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（1）甲方未依照本合同约定支付合同价款的（乙方违反合同规定除外），乙方有权暂停甲方软件系统的使用。</w:t>
      </w:r>
    </w:p>
    <w:p w14:paraId="045611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（2）乙方违反本合同规定，无法为甲方提供合同约定的条款内容，甲方有权提前终止合同，且乙方须赔偿甲方合同总额的30%违约金。</w:t>
      </w:r>
    </w:p>
    <w:p w14:paraId="5CF8C74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sz w:val="24"/>
          <w:szCs w:val="24"/>
          <w:highlight w:val="none"/>
          <w:u w:val="none"/>
          <w:lang w:val="en-US" w:eastAsia="zh-CN"/>
        </w:rPr>
      </w:pPr>
    </w:p>
    <w:p w14:paraId="1A76676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FF"/>
          <w:sz w:val="21"/>
          <w:szCs w:val="21"/>
        </w:rPr>
        <w:t>★说明</w:t>
      </w:r>
      <w:r>
        <w:rPr>
          <w:rFonts w:hint="eastAsia" w:asciiTheme="minorEastAsia" w:hAnsiTheme="minorEastAsia" w:eastAsiaTheme="minorEastAsia" w:cstheme="minorEastAsia"/>
          <w:b/>
          <w:bCs/>
          <w:color w:val="0000FF"/>
          <w:sz w:val="21"/>
          <w:szCs w:val="21"/>
          <w:lang w:val="zh-CN"/>
        </w:rPr>
        <w:t>:商务</w:t>
      </w:r>
      <w:r>
        <w:rPr>
          <w:rFonts w:hint="eastAsia" w:asciiTheme="minorEastAsia" w:hAnsiTheme="minorEastAsia" w:eastAsiaTheme="minorEastAsia" w:cstheme="minorEastAsia"/>
          <w:b/>
          <w:bCs/>
          <w:color w:val="0000FF"/>
          <w:sz w:val="21"/>
          <w:szCs w:val="21"/>
        </w:rPr>
        <w:t>要求</w:t>
      </w:r>
      <w:r>
        <w:rPr>
          <w:rFonts w:hint="eastAsia" w:asciiTheme="minorEastAsia" w:hAnsiTheme="minorEastAsia" w:eastAsiaTheme="minorEastAsia" w:cstheme="minorEastAsia"/>
          <w:b/>
          <w:bCs/>
          <w:color w:val="0000FF"/>
          <w:sz w:val="21"/>
          <w:szCs w:val="21"/>
          <w:lang w:val="zh-CN"/>
        </w:rPr>
        <w:t>中所有指标必须全部响应，任意一项不满足将判定为无效响应。</w:t>
      </w:r>
    </w:p>
    <w:p w14:paraId="72B5DFC9">
      <w:pPr>
        <w:spacing w:line="360" w:lineRule="exact"/>
        <w:ind w:left="0" w:leftChars="0" w:firstLine="0" w:firstLineChars="0"/>
        <w:rPr>
          <w:rFonts w:hint="eastAsia" w:cs="仿宋"/>
          <w:b/>
          <w:bCs/>
          <w:color w:val="000000"/>
          <w:kern w:val="0"/>
          <w:highlight w:val="none"/>
          <w:u w:val="none"/>
          <w:lang w:val="en-US" w:eastAsia="zh-CN"/>
        </w:rPr>
      </w:pPr>
    </w:p>
    <w:p w14:paraId="656F21F3">
      <w:pPr>
        <w:spacing w:line="360" w:lineRule="exact"/>
        <w:ind w:firstLine="2249" w:firstLineChars="800"/>
        <w:rPr>
          <w:rFonts w:hint="eastAsia" w:cs="仿宋"/>
          <w:b/>
          <w:bCs/>
          <w:color w:val="000000"/>
          <w:kern w:val="0"/>
          <w:highlight w:val="none"/>
          <w:u w:val="none"/>
          <w:lang w:val="en-US" w:eastAsia="zh-CN"/>
        </w:rPr>
      </w:pPr>
    </w:p>
    <w:p w14:paraId="5F90360A">
      <w:pPr>
        <w:numPr>
          <w:ilvl w:val="0"/>
          <w:numId w:val="0"/>
        </w:numPr>
        <w:spacing w:line="360" w:lineRule="exact"/>
        <w:ind w:leftChars="800" w:firstLine="1124" w:firstLineChars="4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2" w:hanging="482" w:hangingChars="2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w:t>
      </w:r>
    </w:p>
    <w:p w14:paraId="07A723F4">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报价表</w:t>
      </w:r>
    </w:p>
    <w:p w14:paraId="24C5DF01">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技术条款</w:t>
      </w:r>
    </w:p>
    <w:p w14:paraId="0FF39C38">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商务条款</w:t>
      </w:r>
    </w:p>
    <w:p w14:paraId="7D4F18BF">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4578" w:firstLineChars="19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9"/>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07DB6E6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6A886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692900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05C729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5D423B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7EF4A65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附件1: 报价一览表</w:t>
      </w:r>
    </w:p>
    <w:p w14:paraId="574FEC39">
      <w:pPr>
        <w:keepNext w:val="0"/>
        <w:keepLines w:val="0"/>
        <w:pageBreakBefore w:val="0"/>
        <w:widowControl w:val="0"/>
        <w:kinsoku/>
        <w:wordWrap/>
        <w:overflowPunct/>
        <w:topLinePunct w:val="0"/>
        <w:autoSpaceDE/>
        <w:autoSpaceDN/>
        <w:bidi w:val="0"/>
        <w:adjustRightInd/>
        <w:snapToGrid/>
        <w:spacing w:line="360" w:lineRule="exact"/>
        <w:ind w:left="0" w:leftChars="0" w:firstLine="4320" w:firstLineChars="180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报价表</w:t>
      </w:r>
    </w:p>
    <w:tbl>
      <w:tblPr>
        <w:tblStyle w:val="19"/>
        <w:tblW w:w="11044" w:type="dxa"/>
        <w:tblInd w:w="-35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13"/>
        <w:gridCol w:w="3763"/>
        <w:gridCol w:w="1925"/>
        <w:gridCol w:w="236"/>
        <w:gridCol w:w="1360"/>
        <w:gridCol w:w="447"/>
      </w:tblGrid>
      <w:tr w14:paraId="61FB2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9001" w:type="dxa"/>
            <w:gridSpan w:val="3"/>
            <w:tcBorders>
              <w:top w:val="nil"/>
              <w:left w:val="nil"/>
              <w:bottom w:val="single" w:color="auto" w:sz="6" w:space="0"/>
              <w:right w:val="nil"/>
            </w:tcBorders>
            <w:noWrap w:val="0"/>
            <w:vAlign w:val="center"/>
          </w:tcPr>
          <w:p w14:paraId="38F7917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项目名称：</w:t>
            </w:r>
          </w:p>
        </w:tc>
        <w:tc>
          <w:tcPr>
            <w:tcW w:w="236" w:type="dxa"/>
            <w:tcBorders>
              <w:top w:val="nil"/>
              <w:left w:val="nil"/>
              <w:bottom w:val="single" w:color="auto" w:sz="6" w:space="0"/>
              <w:right w:val="nil"/>
            </w:tcBorders>
            <w:noWrap w:val="0"/>
            <w:vAlign w:val="center"/>
          </w:tcPr>
          <w:p w14:paraId="0D3304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c>
          <w:tcPr>
            <w:tcW w:w="1807" w:type="dxa"/>
            <w:gridSpan w:val="2"/>
            <w:tcBorders>
              <w:top w:val="nil"/>
              <w:left w:val="nil"/>
              <w:bottom w:val="single" w:color="auto" w:sz="6" w:space="0"/>
              <w:right w:val="nil"/>
            </w:tcBorders>
            <w:noWrap w:val="0"/>
            <w:vAlign w:val="center"/>
          </w:tcPr>
          <w:p w14:paraId="45E08DB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项目编号：</w:t>
            </w:r>
          </w:p>
        </w:tc>
      </w:tr>
      <w:tr w14:paraId="0507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0E8475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序号</w:t>
            </w:r>
          </w:p>
        </w:tc>
        <w:tc>
          <w:tcPr>
            <w:tcW w:w="3763" w:type="dxa"/>
            <w:tcBorders>
              <w:top w:val="single" w:color="auto" w:sz="6" w:space="0"/>
              <w:left w:val="single" w:color="auto" w:sz="6" w:space="0"/>
              <w:bottom w:val="single" w:color="auto" w:sz="6" w:space="0"/>
              <w:right w:val="single" w:color="auto" w:sz="6" w:space="0"/>
            </w:tcBorders>
            <w:noWrap w:val="0"/>
            <w:vAlign w:val="center"/>
          </w:tcPr>
          <w:p w14:paraId="5955D5E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名               称</w:t>
            </w:r>
          </w:p>
        </w:tc>
        <w:tc>
          <w:tcPr>
            <w:tcW w:w="1925" w:type="dxa"/>
            <w:tcBorders>
              <w:top w:val="single" w:color="auto" w:sz="6" w:space="0"/>
              <w:left w:val="single" w:color="auto" w:sz="6" w:space="0"/>
              <w:bottom w:val="single" w:color="auto" w:sz="6" w:space="0"/>
              <w:right w:val="single" w:color="auto" w:sz="6" w:space="0"/>
            </w:tcBorders>
            <w:noWrap w:val="0"/>
            <w:vAlign w:val="center"/>
          </w:tcPr>
          <w:p w14:paraId="38E4EA1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报价（元）</w:t>
            </w:r>
          </w:p>
        </w:tc>
        <w:tc>
          <w:tcPr>
            <w:tcW w:w="1596" w:type="dxa"/>
            <w:gridSpan w:val="2"/>
            <w:tcBorders>
              <w:top w:val="single" w:color="auto" w:sz="6" w:space="0"/>
              <w:left w:val="single" w:color="auto" w:sz="6" w:space="0"/>
              <w:bottom w:val="single" w:color="auto" w:sz="6" w:space="0"/>
              <w:right w:val="single" w:color="auto" w:sz="6" w:space="0"/>
            </w:tcBorders>
            <w:noWrap w:val="0"/>
            <w:vAlign w:val="center"/>
          </w:tcPr>
          <w:p w14:paraId="2464F6E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r w14:paraId="5FEF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28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14082F1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p>
        </w:tc>
        <w:tc>
          <w:tcPr>
            <w:tcW w:w="3763" w:type="dxa"/>
            <w:tcBorders>
              <w:top w:val="single" w:color="auto" w:sz="6" w:space="0"/>
              <w:left w:val="single" w:color="auto" w:sz="6" w:space="0"/>
              <w:bottom w:val="single" w:color="auto" w:sz="6" w:space="0"/>
              <w:right w:val="single" w:color="auto" w:sz="6" w:space="0"/>
            </w:tcBorders>
            <w:noWrap w:val="0"/>
            <w:vAlign w:val="center"/>
          </w:tcPr>
          <w:p w14:paraId="55978CA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儿童综合素质评测干预系统服务</w:t>
            </w:r>
          </w:p>
        </w:tc>
        <w:tc>
          <w:tcPr>
            <w:tcW w:w="1925" w:type="dxa"/>
            <w:tcBorders>
              <w:top w:val="single" w:color="auto" w:sz="6" w:space="0"/>
              <w:left w:val="single" w:color="auto" w:sz="6" w:space="0"/>
              <w:bottom w:val="single" w:color="auto" w:sz="6" w:space="0"/>
              <w:right w:val="single" w:color="auto" w:sz="6" w:space="0"/>
            </w:tcBorders>
            <w:noWrap w:val="0"/>
            <w:vAlign w:val="center"/>
          </w:tcPr>
          <w:p w14:paraId="7AC8A5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c>
          <w:tcPr>
            <w:tcW w:w="1596" w:type="dxa"/>
            <w:gridSpan w:val="2"/>
            <w:tcBorders>
              <w:top w:val="single" w:color="auto" w:sz="6" w:space="0"/>
              <w:left w:val="single" w:color="auto" w:sz="6" w:space="0"/>
              <w:bottom w:val="single" w:color="auto" w:sz="6" w:space="0"/>
              <w:right w:val="single" w:color="auto" w:sz="6" w:space="0"/>
            </w:tcBorders>
            <w:noWrap w:val="0"/>
            <w:vAlign w:val="center"/>
          </w:tcPr>
          <w:p w14:paraId="6FEA59A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p>
        </w:tc>
      </w:tr>
      <w:tr w14:paraId="04C3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314" w:hRule="atLeast"/>
        </w:trPr>
        <w:tc>
          <w:tcPr>
            <w:tcW w:w="3313"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13B2CB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eastAsia="zh-CN" w:bidi="ar-SA"/>
              </w:rPr>
            </w:pPr>
            <w:r>
              <w:rPr>
                <w:rFonts w:hint="eastAsia" w:asciiTheme="minorEastAsia" w:hAnsiTheme="minorEastAsia" w:eastAsiaTheme="minorEastAsia" w:cstheme="minorEastAsia"/>
                <w:b w:val="0"/>
                <w:bCs w:val="0"/>
                <w:color w:val="000000"/>
                <w:kern w:val="0"/>
                <w:sz w:val="24"/>
                <w:szCs w:val="24"/>
                <w:highlight w:val="none"/>
                <w:u w:val="none"/>
                <w:lang w:val="zh-CN"/>
              </w:rPr>
              <w:t>供应商是否属于小微型企业</w:t>
            </w:r>
          </w:p>
        </w:tc>
        <w:tc>
          <w:tcPr>
            <w:tcW w:w="7284" w:type="dxa"/>
            <w:gridSpan w:val="4"/>
            <w:tcBorders>
              <w:top w:val="single" w:color="auto" w:sz="6" w:space="0"/>
              <w:left w:val="single" w:color="auto" w:sz="6" w:space="0"/>
              <w:bottom w:val="single" w:color="auto" w:sz="6" w:space="0"/>
              <w:right w:val="single" w:color="auto" w:sz="6" w:space="0"/>
            </w:tcBorders>
            <w:shd w:val="clear" w:color="auto" w:fill="auto"/>
            <w:noWrap w:val="0"/>
            <w:vAlign w:val="center"/>
          </w:tcPr>
          <w:p w14:paraId="3C53C79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bidi="ar-SA"/>
              </w:rPr>
            </w:pPr>
            <w:r>
              <w:rPr>
                <w:rFonts w:hint="eastAsia" w:asciiTheme="minorEastAsia" w:hAnsiTheme="minorEastAsia" w:eastAsiaTheme="minorEastAsia" w:cstheme="minorEastAsia"/>
                <w:b w:val="0"/>
                <w:bCs w:val="0"/>
                <w:color w:val="000000"/>
                <w:kern w:val="0"/>
                <w:sz w:val="24"/>
                <w:szCs w:val="24"/>
                <w:highlight w:val="none"/>
                <w:u w:val="none"/>
                <w:lang w:val="zh-CN"/>
              </w:rPr>
              <w:t>是       否</w:t>
            </w:r>
          </w:p>
        </w:tc>
      </w:tr>
      <w:tr w14:paraId="41EC1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47" w:type="dxa"/>
          <w:trHeight w:val="314" w:hRule="atLeast"/>
        </w:trPr>
        <w:tc>
          <w:tcPr>
            <w:tcW w:w="3313" w:type="dxa"/>
            <w:tcBorders>
              <w:top w:val="single" w:color="auto" w:sz="6" w:space="0"/>
              <w:left w:val="single" w:color="auto" w:sz="6" w:space="0"/>
              <w:bottom w:val="single" w:color="auto" w:sz="6" w:space="0"/>
              <w:right w:val="single" w:color="auto" w:sz="6" w:space="0"/>
            </w:tcBorders>
            <w:noWrap w:val="0"/>
            <w:vAlign w:val="center"/>
          </w:tcPr>
          <w:p w14:paraId="49ED0ED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项目负责人及联系方式</w:t>
            </w:r>
          </w:p>
        </w:tc>
        <w:tc>
          <w:tcPr>
            <w:tcW w:w="7284" w:type="dxa"/>
            <w:gridSpan w:val="4"/>
            <w:tcBorders>
              <w:top w:val="single" w:color="auto" w:sz="6" w:space="0"/>
              <w:left w:val="single" w:color="auto" w:sz="6" w:space="0"/>
              <w:bottom w:val="single" w:color="auto" w:sz="6" w:space="0"/>
              <w:right w:val="single" w:color="auto" w:sz="6" w:space="0"/>
            </w:tcBorders>
            <w:noWrap w:val="0"/>
            <w:vAlign w:val="center"/>
          </w:tcPr>
          <w:p w14:paraId="52AA2E0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p>
        </w:tc>
      </w:tr>
    </w:tbl>
    <w:p w14:paraId="74863C4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供应商名称（盖章）:   </w:t>
      </w:r>
    </w:p>
    <w:p w14:paraId="7F9F217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法人或被授权人签字或签章：</w:t>
      </w:r>
    </w:p>
    <w:p w14:paraId="76FC66E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val="zh-CN"/>
        </w:rPr>
      </w:pPr>
      <w:r>
        <w:rPr>
          <w:rFonts w:hint="eastAsia" w:asciiTheme="minorEastAsia" w:hAnsiTheme="minorEastAsia" w:eastAsiaTheme="minorEastAsia" w:cstheme="minorEastAsia"/>
          <w:b w:val="0"/>
          <w:bCs w:val="0"/>
          <w:color w:val="000000"/>
          <w:kern w:val="0"/>
          <w:sz w:val="24"/>
          <w:szCs w:val="24"/>
          <w:highlight w:val="none"/>
          <w:u w:val="none"/>
          <w:lang w:val="zh-CN"/>
        </w:rPr>
        <w:t xml:space="preserve">                                          </w:t>
      </w:r>
    </w:p>
    <w:p w14:paraId="067FF3F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注：</w:t>
      </w:r>
      <w:r>
        <w:rPr>
          <w:rFonts w:hint="eastAsia" w:asciiTheme="minorEastAsia" w:hAnsiTheme="minorEastAsia" w:eastAsiaTheme="minorEastAsia" w:cstheme="minorEastAsia"/>
          <w:b w:val="0"/>
          <w:bCs w:val="0"/>
          <w:color w:val="000000"/>
          <w:kern w:val="0"/>
          <w:sz w:val="24"/>
          <w:szCs w:val="24"/>
          <w:highlight w:val="none"/>
          <w:u w:val="none"/>
          <w:lang w:val="zh-CN"/>
        </w:rPr>
        <w:t>在“供应商是否属于小和微型企业”栏后“是”或“否”上打“√”，小微企业享受报价扣除</w:t>
      </w:r>
      <w:r>
        <w:rPr>
          <w:rFonts w:hint="eastAsia" w:asciiTheme="minorEastAsia" w:hAnsiTheme="minorEastAsia" w:eastAsiaTheme="minorEastAsia" w:cstheme="minorEastAsia"/>
          <w:b w:val="0"/>
          <w:bCs w:val="0"/>
          <w:color w:val="000000"/>
          <w:kern w:val="0"/>
          <w:sz w:val="24"/>
          <w:szCs w:val="24"/>
          <w:highlight w:val="none"/>
          <w:u w:val="none"/>
          <w:lang w:val="en-US" w:eastAsia="zh-CN"/>
        </w:rPr>
        <w:t>10%参与评标。</w:t>
      </w:r>
    </w:p>
    <w:p w14:paraId="01BAE75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p>
    <w:p w14:paraId="2098701B">
      <w:pPr>
        <w:spacing w:line="400" w:lineRule="exact"/>
        <w:ind w:left="0" w:leftChars="0" w:firstLine="0" w:firstLineChars="0"/>
        <w:rPr>
          <w:rFonts w:hint="eastAsia" w:asciiTheme="minorEastAsia" w:hAnsiTheme="minorEastAsia" w:eastAsiaTheme="minorEastAsia" w:cstheme="minorEastAsia"/>
          <w:b/>
          <w:bCs/>
          <w:sz w:val="24"/>
          <w:szCs w:val="24"/>
          <w:u w:val="none"/>
          <w:lang w:val="zh-CN"/>
        </w:rPr>
      </w:pPr>
      <w:r>
        <w:rPr>
          <w:rFonts w:hint="eastAsia" w:asciiTheme="minorEastAsia" w:hAnsiTheme="minorEastAsia" w:eastAsiaTheme="minorEastAsia" w:cstheme="minorEastAsia"/>
          <w:b/>
          <w:bCs/>
          <w:sz w:val="24"/>
          <w:szCs w:val="24"/>
          <w:u w:val="none"/>
        </w:rPr>
        <w:t>附件</w:t>
      </w:r>
      <w:r>
        <w:rPr>
          <w:rFonts w:hint="eastAsia" w:asciiTheme="minorEastAsia" w:hAnsiTheme="minorEastAsia" w:eastAsiaTheme="minorEastAsia" w:cstheme="minorEastAsia"/>
          <w:b/>
          <w:bCs/>
          <w:sz w:val="24"/>
          <w:szCs w:val="24"/>
          <w:u w:val="none"/>
          <w:lang w:val="en-US" w:eastAsia="zh-CN"/>
        </w:rPr>
        <w:t>2</w:t>
      </w:r>
      <w:r>
        <w:rPr>
          <w:rFonts w:hint="eastAsia" w:asciiTheme="minorEastAsia" w:hAnsiTheme="minorEastAsia" w:eastAsiaTheme="minorEastAsia" w:cstheme="minorEastAsia"/>
          <w:b/>
          <w:bCs/>
          <w:sz w:val="24"/>
          <w:szCs w:val="24"/>
          <w:u w:val="none"/>
        </w:rPr>
        <w:t>：</w:t>
      </w:r>
      <w:r>
        <w:rPr>
          <w:rFonts w:hint="eastAsia" w:asciiTheme="minorEastAsia" w:hAnsiTheme="minorEastAsia" w:eastAsiaTheme="minorEastAsia" w:cstheme="minorEastAsia"/>
          <w:b/>
          <w:bCs/>
          <w:sz w:val="24"/>
          <w:szCs w:val="24"/>
          <w:u w:val="none"/>
          <w:lang w:val="en-US" w:eastAsia="zh-CN"/>
        </w:rPr>
        <w:t>技术</w:t>
      </w:r>
      <w:r>
        <w:rPr>
          <w:rFonts w:hint="eastAsia" w:asciiTheme="minorEastAsia" w:hAnsiTheme="minorEastAsia" w:eastAsiaTheme="minorEastAsia" w:cstheme="minorEastAsia"/>
          <w:b/>
          <w:bCs/>
          <w:sz w:val="24"/>
          <w:szCs w:val="24"/>
          <w:u w:val="none"/>
        </w:rPr>
        <w:t>条款</w:t>
      </w:r>
      <w:r>
        <w:rPr>
          <w:rFonts w:hint="eastAsia" w:asciiTheme="minorEastAsia" w:hAnsiTheme="minorEastAsia" w:eastAsiaTheme="minorEastAsia" w:cstheme="minorEastAsia"/>
          <w:b/>
          <w:bCs/>
          <w:sz w:val="24"/>
          <w:szCs w:val="24"/>
          <w:u w:val="none"/>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技术</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技术</w:t>
            </w:r>
            <w:r>
              <w:rPr>
                <w:rFonts w:hint="eastAsia" w:asciiTheme="minorEastAsia" w:hAnsiTheme="minorEastAsia" w:eastAsiaTheme="minorEastAsia" w:cstheme="minorEastAsia"/>
                <w:b w:val="0"/>
                <w:bCs w:val="0"/>
                <w:sz w:val="24"/>
                <w:szCs w:val="24"/>
                <w:u w:val="none"/>
              </w:rPr>
              <w:t>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default" w:asciiTheme="minorEastAsia" w:hAnsiTheme="minorEastAsia" w:eastAsiaTheme="minorEastAsia" w:cstheme="minorEastAsia"/>
          <w:b w:val="0"/>
          <w:bCs w:val="0"/>
          <w:sz w:val="24"/>
          <w:szCs w:val="24"/>
          <w:u w:val="single"/>
          <w:lang w:val="en-US" w:eastAsia="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9CE51DC">
      <w:pPr>
        <w:pStyle w:val="24"/>
        <w:spacing w:line="400" w:lineRule="exact"/>
        <w:ind w:firstLine="482" w:firstLineChars="200"/>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商务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8E1A4C1">
      <w:pPr>
        <w:pStyle w:val="24"/>
        <w:spacing w:line="400" w:lineRule="exact"/>
        <w:rPr>
          <w:rFonts w:hint="eastAsia" w:asciiTheme="minorEastAsia" w:hAnsiTheme="minorEastAsia" w:eastAsiaTheme="minorEastAsia" w:cstheme="minorEastAsia"/>
          <w:sz w:val="24"/>
          <w:szCs w:val="24"/>
        </w:rPr>
      </w:pPr>
    </w:p>
    <w:p w14:paraId="16431DB4">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条款偏离表</w:t>
      </w:r>
    </w:p>
    <w:tbl>
      <w:tblPr>
        <w:tblStyle w:val="19"/>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33109DC5">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0D84DA4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A128B73">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42D529E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522151C">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BEBB29E">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9425C9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D5689C9">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163A18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63FE9670">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338F59EA">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71197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6E586FA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rPr>
              <w:t>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2F53717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9392C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FF0C65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B9A930E">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6161D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107D2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05FC60E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4D1942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157C5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FD14D6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826A902">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D33E96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E07304B">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109ED46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A238D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41BEDF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DA3B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9BCC77">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4C0235A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655987">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5D7E57C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22C6CF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CD22FF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87754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ED7C65">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CD04083">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49A4A62C">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76303D9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C4CE4D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32EFA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2CE798A">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9DF2DA">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84B3A1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B2D979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065B369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6DEB4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762DE4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D21C43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0E8A36F">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703A3789">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F08094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1466FCB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EB9F2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B55D80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E66871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7371A06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7A41FF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FF2C1F">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08D451C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7F2BD5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4F0549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3B941B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F5DBE5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6056685D">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25B75424">
      <w:pPr>
        <w:spacing w:line="400" w:lineRule="exact"/>
        <w:ind w:firstLine="560"/>
        <w:rPr>
          <w:rFonts w:hint="eastAsia" w:asciiTheme="minorEastAsia" w:hAnsiTheme="minorEastAsia" w:eastAsiaTheme="minorEastAsia" w:cstheme="minorEastAsia"/>
          <w:b w:val="0"/>
          <w:bCs w:val="0"/>
          <w:color w:val="91ACE0" w:themeColor="accent1" w:themeTint="99"/>
          <w:sz w:val="24"/>
          <w:szCs w:val="24"/>
          <w:u w:val="none"/>
          <w:lang w:val="zh-CN"/>
          <w14:textFill>
            <w14:solidFill>
              <w14:schemeClr w14:val="accent1">
                <w14:lumMod w14:val="60000"/>
                <w14:lumOff w14:val="40000"/>
              </w14:schemeClr>
            </w14:solidFill>
          </w14:textFill>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商务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r>
        <w:rPr>
          <w:rFonts w:hint="eastAsia" w:asciiTheme="minorEastAsia" w:hAnsiTheme="minorEastAsia" w:eastAsiaTheme="minorEastAsia" w:cstheme="minorEastAsia"/>
          <w:b w:val="0"/>
          <w:bCs w:val="0"/>
          <w:sz w:val="24"/>
          <w:szCs w:val="24"/>
          <w:u w:val="single"/>
          <w:lang w:val="en-US" w:eastAsia="zh-CN"/>
        </w:rPr>
        <w:t>如此表空白加盖公章视为全部响应。</w:t>
      </w:r>
    </w:p>
    <w:p w14:paraId="6823F4DF">
      <w:pPr>
        <w:pStyle w:val="24"/>
        <w:spacing w:line="400" w:lineRule="exact"/>
        <w:rPr>
          <w:rFonts w:hint="eastAsia" w:asciiTheme="minorEastAsia" w:hAnsiTheme="minorEastAsia" w:eastAsiaTheme="minorEastAsia" w:cstheme="minorEastAsia"/>
          <w:b w:val="0"/>
          <w:bCs w:val="0"/>
          <w:sz w:val="24"/>
          <w:szCs w:val="24"/>
          <w:u w:val="none"/>
          <w:lang w:val="en-US" w:eastAsia="zh-CN"/>
        </w:rPr>
      </w:pPr>
    </w:p>
    <w:p w14:paraId="2921F9FE">
      <w:pPr>
        <w:pStyle w:val="24"/>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5</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6ADD7C6F">
      <w:pPr>
        <w:pStyle w:val="24"/>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br w:type="textWrapping"/>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0869D0A8">
      <w:pPr>
        <w:pStyle w:val="24"/>
        <w:spacing w:line="400" w:lineRule="exact"/>
        <w:rPr>
          <w:rFonts w:hint="eastAsia" w:ascii="仿宋" w:hAnsi="仿宋" w:eastAsia="仿宋" w:cs="仿宋"/>
          <w:b/>
          <w:bCs/>
          <w:sz w:val="28"/>
          <w:szCs w:val="28"/>
        </w:rPr>
      </w:pPr>
    </w:p>
    <w:p w14:paraId="40BE35C1">
      <w:pPr>
        <w:pStyle w:val="24"/>
        <w:spacing w:line="400" w:lineRule="exact"/>
        <w:rPr>
          <w:rFonts w:hint="eastAsia" w:asciiTheme="minorEastAsia" w:hAnsiTheme="minorEastAsia" w:eastAsiaTheme="minorEastAsia" w:cstheme="minorEastAsia"/>
          <w:b/>
          <w:bCs/>
          <w:sz w:val="24"/>
          <w:szCs w:val="24"/>
          <w:lang w:val="en-US" w:eastAsia="zh-CN"/>
        </w:rPr>
      </w:pPr>
    </w:p>
    <w:p w14:paraId="2E906445">
      <w:pPr>
        <w:pStyle w:val="24"/>
        <w:spacing w:line="400" w:lineRule="exact"/>
        <w:rPr>
          <w:rFonts w:hint="eastAsia" w:asciiTheme="minorEastAsia" w:hAnsiTheme="minorEastAsia" w:eastAsiaTheme="minorEastAsia" w:cstheme="minorEastAsia"/>
          <w:b/>
          <w:bCs/>
          <w:sz w:val="24"/>
          <w:szCs w:val="24"/>
          <w:lang w:val="en-US" w:eastAsia="zh-CN"/>
        </w:rPr>
      </w:pPr>
    </w:p>
    <w:p w14:paraId="4D66C604">
      <w:pPr>
        <w:pStyle w:val="24"/>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w:t>
      </w:r>
    </w:p>
    <w:p w14:paraId="20F5B1FD">
      <w:pPr>
        <w:pStyle w:val="24"/>
        <w:spacing w:line="400" w:lineRule="exact"/>
        <w:ind w:firstLine="1405" w:firstLineChars="5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南京市政府采购供应商信用记录表暨信用承诺书</w:t>
      </w:r>
    </w:p>
    <w:p w14:paraId="3CBB113D">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2682"/>
      </w:tblGrid>
      <w:tr w14:paraId="723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81EBAD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7331212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6F04AA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2682" w:type="dxa"/>
            <w:noWrap w:val="0"/>
            <w:vAlign w:val="top"/>
          </w:tcPr>
          <w:p w14:paraId="455B3825">
            <w:pPr>
              <w:spacing w:line="360" w:lineRule="auto"/>
              <w:ind w:firstLine="0" w:firstLineChars="0"/>
              <w:jc w:val="left"/>
              <w:rPr>
                <w:rFonts w:ascii="Times New Roman" w:hAnsi="Calibri" w:eastAsia="宋体" w:cs="Times New Roman"/>
                <w:b/>
                <w:bCs/>
                <w:color w:val="000000"/>
                <w:sz w:val="21"/>
                <w:szCs w:val="24"/>
                <w:u w:val="none"/>
              </w:rPr>
            </w:pPr>
          </w:p>
        </w:tc>
      </w:tr>
      <w:tr w14:paraId="6844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69476CF3">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4DE98A1E">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A8BD5A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2682" w:type="dxa"/>
            <w:noWrap w:val="0"/>
            <w:vAlign w:val="top"/>
          </w:tcPr>
          <w:p w14:paraId="0693727A">
            <w:pPr>
              <w:spacing w:line="360" w:lineRule="auto"/>
              <w:ind w:firstLine="0" w:firstLineChars="0"/>
              <w:jc w:val="left"/>
              <w:rPr>
                <w:rFonts w:ascii="Times New Roman" w:hAnsi="Calibri" w:eastAsia="宋体" w:cs="Times New Roman"/>
                <w:b/>
                <w:bCs/>
                <w:color w:val="000000"/>
                <w:sz w:val="21"/>
                <w:szCs w:val="24"/>
                <w:u w:val="none"/>
              </w:rPr>
            </w:pPr>
          </w:p>
        </w:tc>
      </w:tr>
      <w:tr w14:paraId="5C1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6E41DF9">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E1AE01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E140E2C">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2682" w:type="dxa"/>
            <w:noWrap w:val="0"/>
            <w:vAlign w:val="top"/>
          </w:tcPr>
          <w:p w14:paraId="4177C36D">
            <w:pPr>
              <w:spacing w:line="360" w:lineRule="auto"/>
              <w:ind w:firstLine="0" w:firstLineChars="0"/>
              <w:jc w:val="left"/>
              <w:rPr>
                <w:rFonts w:ascii="Times New Roman" w:hAnsi="Calibri" w:eastAsia="宋体" w:cs="Times New Roman"/>
                <w:b/>
                <w:bCs/>
                <w:color w:val="000000"/>
                <w:sz w:val="21"/>
                <w:szCs w:val="24"/>
                <w:u w:val="none"/>
              </w:rPr>
            </w:pPr>
          </w:p>
        </w:tc>
      </w:tr>
      <w:tr w14:paraId="2051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90BE81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4413C812">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1E2CE764">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2682" w:type="dxa"/>
            <w:noWrap w:val="0"/>
            <w:vAlign w:val="top"/>
          </w:tcPr>
          <w:p w14:paraId="0E181284">
            <w:pPr>
              <w:spacing w:line="360" w:lineRule="auto"/>
              <w:ind w:firstLine="0" w:firstLineChars="0"/>
              <w:jc w:val="left"/>
              <w:rPr>
                <w:rFonts w:ascii="Times New Roman" w:hAnsi="Calibri" w:eastAsia="宋体" w:cs="Times New Roman"/>
                <w:b/>
                <w:bCs/>
                <w:color w:val="000000"/>
                <w:sz w:val="21"/>
                <w:szCs w:val="24"/>
                <w:u w:val="none"/>
              </w:rPr>
            </w:pPr>
          </w:p>
        </w:tc>
      </w:tr>
      <w:tr w14:paraId="2560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18427D0B">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8068" w:type="dxa"/>
            <w:gridSpan w:val="3"/>
            <w:noWrap w:val="0"/>
            <w:vAlign w:val="top"/>
          </w:tcPr>
          <w:p w14:paraId="52A810E6">
            <w:pPr>
              <w:spacing w:line="360" w:lineRule="auto"/>
              <w:ind w:firstLine="0" w:firstLineChars="0"/>
              <w:jc w:val="left"/>
              <w:rPr>
                <w:rFonts w:ascii="Times New Roman" w:hAnsi="Calibri" w:eastAsia="宋体" w:cs="Times New Roman"/>
                <w:b/>
                <w:bCs/>
                <w:color w:val="000000"/>
                <w:sz w:val="21"/>
                <w:szCs w:val="24"/>
                <w:u w:val="none"/>
              </w:rPr>
            </w:pPr>
          </w:p>
        </w:tc>
      </w:tr>
      <w:tr w14:paraId="3F4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noWrap w:val="0"/>
            <w:vAlign w:val="top"/>
          </w:tcPr>
          <w:p w14:paraId="5CDE7BF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8068" w:type="dxa"/>
            <w:gridSpan w:val="3"/>
            <w:noWrap w:val="0"/>
            <w:vAlign w:val="top"/>
          </w:tcPr>
          <w:p w14:paraId="54A7D190">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w:t>
            </w:r>
            <w:r>
              <w:rPr>
                <w:rFonts w:hint="eastAsia" w:ascii="Times New Roman" w:hAnsi="Calibri" w:eastAsia="宋体" w:cs="Times New Roman"/>
                <w:b w:val="0"/>
                <w:bCs/>
                <w:color w:val="000000"/>
                <w:sz w:val="21"/>
                <w:szCs w:val="24"/>
                <w:u w:val="none"/>
                <w:lang w:eastAsia="zh-CN"/>
              </w:rPr>
              <w:t>南京市溧水区人民医院</w:t>
            </w:r>
            <w:r>
              <w:rPr>
                <w:rFonts w:hint="eastAsia" w:ascii="Times New Roman" w:hAnsi="Calibri" w:eastAsia="宋体" w:cs="Times New Roman"/>
                <w:b w:val="0"/>
                <w:bCs/>
                <w:color w:val="000000"/>
                <w:sz w:val="21"/>
                <w:szCs w:val="24"/>
                <w:u w:val="none"/>
              </w:rPr>
              <w:t>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0BBD2CB7">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0D1022B">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77943F6F">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6EFF9B3C">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5701EEE6">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61005E3B">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747489FD">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3E66DA86">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7CC2827">
      <w:pPr>
        <w:spacing w:line="240" w:lineRule="auto"/>
        <w:ind w:firstLine="0" w:firstLineChars="0"/>
        <w:rPr>
          <w:rFonts w:hint="default"/>
          <w:lang w:val="en-US" w:eastAsia="zh-CN"/>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D4904FC">
      <w:pPr>
        <w:spacing w:line="400" w:lineRule="exact"/>
        <w:ind w:left="0" w:leftChars="0" w:firstLine="560" w:firstLineChars="200"/>
        <w:rPr>
          <w:rFonts w:hint="default" w:cs="仿宋"/>
          <w:b w:val="0"/>
          <w:bCs w:val="0"/>
          <w:u w:val="none"/>
          <w:lang w:val="en-US" w:eastAsia="zh-CN"/>
        </w:rPr>
      </w:pPr>
    </w:p>
    <w:p w14:paraId="3FDEE506">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389D15F6">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4"/>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4"/>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1A2F">
    <w:pPr>
      <w:pStyle w:val="15"/>
      <w:pBdr>
        <w:bottom w:val="single" w:color="auto" w:sz="4" w:space="1"/>
      </w:pBdr>
      <w:ind w:left="0" w:leftChars="0" w:firstLine="3360" w:firstLineChars="1400"/>
      <w:jc w:val="both"/>
      <w:rPr>
        <w:rFonts w:hint="default" w:eastAsia="仿宋"/>
        <w:b w:val="0"/>
        <w:bCs w:val="0"/>
        <w:sz w:val="24"/>
        <w:szCs w:val="24"/>
        <w:u w:val="none"/>
        <w:lang w:val="en-US" w:eastAsia="zh-CN"/>
      </w:rPr>
    </w:pPr>
    <w:r>
      <w:rPr>
        <w:rFonts w:hint="eastAsia"/>
        <w:b w:val="0"/>
        <w:bCs w:val="0"/>
        <w:sz w:val="24"/>
        <w:szCs w:val="24"/>
        <w:u w:val="none"/>
        <w:lang w:val="en-US" w:eastAsia="zh-CN"/>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B525"/>
    <w:multiLevelType w:val="singleLevel"/>
    <w:tmpl w:val="954AB525"/>
    <w:lvl w:ilvl="0" w:tentative="0">
      <w:start w:val="1"/>
      <w:numFmt w:val="chineseCounting"/>
      <w:suff w:val="space"/>
      <w:lvlText w:val="第%1部分"/>
      <w:lvlJc w:val="left"/>
      <w:rPr>
        <w:rFonts w:hint="eastAsia"/>
      </w:rPr>
    </w:lvl>
  </w:abstractNum>
  <w:abstractNum w:abstractNumId="1">
    <w:nsid w:val="C9DC4127"/>
    <w:multiLevelType w:val="singleLevel"/>
    <w:tmpl w:val="C9DC4127"/>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FC06C768"/>
    <w:multiLevelType w:val="singleLevel"/>
    <w:tmpl w:val="FC06C768"/>
    <w:lvl w:ilvl="0" w:tentative="0">
      <w:start w:val="2"/>
      <w:numFmt w:val="decimal"/>
      <w:suff w:val="nothing"/>
      <w:lvlText w:val="%1、"/>
      <w:lvlJc w:val="left"/>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AF1BCE"/>
    <w:rsid w:val="02BA37B0"/>
    <w:rsid w:val="02F41CAD"/>
    <w:rsid w:val="036C3D74"/>
    <w:rsid w:val="03CA0201"/>
    <w:rsid w:val="03EF1171"/>
    <w:rsid w:val="04372DA7"/>
    <w:rsid w:val="054170C6"/>
    <w:rsid w:val="05720596"/>
    <w:rsid w:val="057A17B3"/>
    <w:rsid w:val="059E1945"/>
    <w:rsid w:val="05F01509"/>
    <w:rsid w:val="066D6EBE"/>
    <w:rsid w:val="07107C1F"/>
    <w:rsid w:val="0727186C"/>
    <w:rsid w:val="088968DD"/>
    <w:rsid w:val="08C3481A"/>
    <w:rsid w:val="09594CC4"/>
    <w:rsid w:val="0A297F16"/>
    <w:rsid w:val="0AA277E2"/>
    <w:rsid w:val="0B4E1717"/>
    <w:rsid w:val="0C351327"/>
    <w:rsid w:val="0C666EEA"/>
    <w:rsid w:val="0CDB51C5"/>
    <w:rsid w:val="0D10302B"/>
    <w:rsid w:val="0D7A1CDB"/>
    <w:rsid w:val="0DCD726B"/>
    <w:rsid w:val="0F7369D5"/>
    <w:rsid w:val="100F6825"/>
    <w:rsid w:val="105E23FD"/>
    <w:rsid w:val="11140D0D"/>
    <w:rsid w:val="113D0264"/>
    <w:rsid w:val="11A55E09"/>
    <w:rsid w:val="125F420A"/>
    <w:rsid w:val="12D90460"/>
    <w:rsid w:val="15761F97"/>
    <w:rsid w:val="15F9365C"/>
    <w:rsid w:val="162F7A3C"/>
    <w:rsid w:val="168705BE"/>
    <w:rsid w:val="172E012D"/>
    <w:rsid w:val="17547981"/>
    <w:rsid w:val="17A80770"/>
    <w:rsid w:val="18445357"/>
    <w:rsid w:val="18982224"/>
    <w:rsid w:val="18FA4C14"/>
    <w:rsid w:val="1A7016AA"/>
    <w:rsid w:val="1BDD44B0"/>
    <w:rsid w:val="1C2529FF"/>
    <w:rsid w:val="1D791FD7"/>
    <w:rsid w:val="1E156BA5"/>
    <w:rsid w:val="1E317B44"/>
    <w:rsid w:val="1E566E09"/>
    <w:rsid w:val="1EC56C27"/>
    <w:rsid w:val="1F2B3EFC"/>
    <w:rsid w:val="1F4629DA"/>
    <w:rsid w:val="1F8E1CF8"/>
    <w:rsid w:val="21034210"/>
    <w:rsid w:val="21035955"/>
    <w:rsid w:val="215A276C"/>
    <w:rsid w:val="221851E6"/>
    <w:rsid w:val="224A458F"/>
    <w:rsid w:val="22723902"/>
    <w:rsid w:val="23201F60"/>
    <w:rsid w:val="232C1E94"/>
    <w:rsid w:val="23710410"/>
    <w:rsid w:val="23C177B6"/>
    <w:rsid w:val="23F9105D"/>
    <w:rsid w:val="25306EE2"/>
    <w:rsid w:val="25D32AED"/>
    <w:rsid w:val="266F3771"/>
    <w:rsid w:val="26F43327"/>
    <w:rsid w:val="274A419B"/>
    <w:rsid w:val="278F4358"/>
    <w:rsid w:val="27AC1913"/>
    <w:rsid w:val="27AF0CE2"/>
    <w:rsid w:val="27BB1274"/>
    <w:rsid w:val="281C077C"/>
    <w:rsid w:val="282F3F83"/>
    <w:rsid w:val="288829C2"/>
    <w:rsid w:val="28904894"/>
    <w:rsid w:val="289C7F3C"/>
    <w:rsid w:val="28C8126C"/>
    <w:rsid w:val="29220EF6"/>
    <w:rsid w:val="2AD01014"/>
    <w:rsid w:val="2B8A65D1"/>
    <w:rsid w:val="2C4F66C1"/>
    <w:rsid w:val="2C6C0DBE"/>
    <w:rsid w:val="2C8132A3"/>
    <w:rsid w:val="2C917248"/>
    <w:rsid w:val="2E1702C2"/>
    <w:rsid w:val="2FAB0A48"/>
    <w:rsid w:val="2FF56385"/>
    <w:rsid w:val="30F45504"/>
    <w:rsid w:val="310550F2"/>
    <w:rsid w:val="312F39C2"/>
    <w:rsid w:val="322169DF"/>
    <w:rsid w:val="32EC2DE5"/>
    <w:rsid w:val="332055EB"/>
    <w:rsid w:val="3361798A"/>
    <w:rsid w:val="337C35E0"/>
    <w:rsid w:val="33C341A1"/>
    <w:rsid w:val="33FB23D1"/>
    <w:rsid w:val="343313EF"/>
    <w:rsid w:val="34E30FF8"/>
    <w:rsid w:val="3598548C"/>
    <w:rsid w:val="362E19ED"/>
    <w:rsid w:val="36E65EE8"/>
    <w:rsid w:val="38477A29"/>
    <w:rsid w:val="38C22C79"/>
    <w:rsid w:val="38E2045E"/>
    <w:rsid w:val="38F92413"/>
    <w:rsid w:val="39B849AC"/>
    <w:rsid w:val="39D37B62"/>
    <w:rsid w:val="3A0C6125"/>
    <w:rsid w:val="3B522D42"/>
    <w:rsid w:val="3B7A3CDF"/>
    <w:rsid w:val="3C1341E6"/>
    <w:rsid w:val="3D2E7F41"/>
    <w:rsid w:val="3D5F13DF"/>
    <w:rsid w:val="3F8C69B3"/>
    <w:rsid w:val="40183AC7"/>
    <w:rsid w:val="403F29F9"/>
    <w:rsid w:val="4045536F"/>
    <w:rsid w:val="406B1E48"/>
    <w:rsid w:val="4226071D"/>
    <w:rsid w:val="424E09CC"/>
    <w:rsid w:val="42804718"/>
    <w:rsid w:val="4287437F"/>
    <w:rsid w:val="42DB7BE8"/>
    <w:rsid w:val="43B15A7D"/>
    <w:rsid w:val="43C317DE"/>
    <w:rsid w:val="43EA520C"/>
    <w:rsid w:val="44986F84"/>
    <w:rsid w:val="44F34016"/>
    <w:rsid w:val="45F811DF"/>
    <w:rsid w:val="46404CE5"/>
    <w:rsid w:val="48665371"/>
    <w:rsid w:val="48B3438D"/>
    <w:rsid w:val="49675177"/>
    <w:rsid w:val="49C5228A"/>
    <w:rsid w:val="49C82D31"/>
    <w:rsid w:val="4A1A5F48"/>
    <w:rsid w:val="4A9311B5"/>
    <w:rsid w:val="4AE5697A"/>
    <w:rsid w:val="4AF6122F"/>
    <w:rsid w:val="4B2058B1"/>
    <w:rsid w:val="4B4A3121"/>
    <w:rsid w:val="4B8054E5"/>
    <w:rsid w:val="4CD10909"/>
    <w:rsid w:val="4CDD30BE"/>
    <w:rsid w:val="4CFA195C"/>
    <w:rsid w:val="4D413526"/>
    <w:rsid w:val="4FAE58AE"/>
    <w:rsid w:val="506063B0"/>
    <w:rsid w:val="50C3182D"/>
    <w:rsid w:val="50C939BF"/>
    <w:rsid w:val="51644DBE"/>
    <w:rsid w:val="518A5FCF"/>
    <w:rsid w:val="525F5585"/>
    <w:rsid w:val="55322ADD"/>
    <w:rsid w:val="55EC5382"/>
    <w:rsid w:val="567C0974"/>
    <w:rsid w:val="57623B4D"/>
    <w:rsid w:val="577613A7"/>
    <w:rsid w:val="591438A3"/>
    <w:rsid w:val="597B202F"/>
    <w:rsid w:val="5A054C64"/>
    <w:rsid w:val="5AB50438"/>
    <w:rsid w:val="5AE34FA5"/>
    <w:rsid w:val="5B5072E3"/>
    <w:rsid w:val="5B6C1A49"/>
    <w:rsid w:val="5BD85DD7"/>
    <w:rsid w:val="5C314C9D"/>
    <w:rsid w:val="5D641CA2"/>
    <w:rsid w:val="5DDD2297"/>
    <w:rsid w:val="5FB177E8"/>
    <w:rsid w:val="60AA12A8"/>
    <w:rsid w:val="60EF3EDC"/>
    <w:rsid w:val="62620EA5"/>
    <w:rsid w:val="628E1C9B"/>
    <w:rsid w:val="64B75ABF"/>
    <w:rsid w:val="65984BDE"/>
    <w:rsid w:val="65A716C6"/>
    <w:rsid w:val="660D477E"/>
    <w:rsid w:val="66140709"/>
    <w:rsid w:val="66DA2A9C"/>
    <w:rsid w:val="66E44404"/>
    <w:rsid w:val="68CD0F87"/>
    <w:rsid w:val="68D53E01"/>
    <w:rsid w:val="694C2C2B"/>
    <w:rsid w:val="694E3F32"/>
    <w:rsid w:val="6A04258F"/>
    <w:rsid w:val="6AA87C08"/>
    <w:rsid w:val="6B3D5CD6"/>
    <w:rsid w:val="6BEF307E"/>
    <w:rsid w:val="6BF16DF6"/>
    <w:rsid w:val="6C2E3FF6"/>
    <w:rsid w:val="6D1E383F"/>
    <w:rsid w:val="6D21334F"/>
    <w:rsid w:val="6DB868D5"/>
    <w:rsid w:val="6DD95D94"/>
    <w:rsid w:val="6E290275"/>
    <w:rsid w:val="6E3022FE"/>
    <w:rsid w:val="6E3F1A2D"/>
    <w:rsid w:val="6E8626DC"/>
    <w:rsid w:val="6E8C1058"/>
    <w:rsid w:val="6EA53724"/>
    <w:rsid w:val="6EC604A2"/>
    <w:rsid w:val="6F257866"/>
    <w:rsid w:val="6F8C57B4"/>
    <w:rsid w:val="704213F0"/>
    <w:rsid w:val="71363BAA"/>
    <w:rsid w:val="722E4900"/>
    <w:rsid w:val="72596368"/>
    <w:rsid w:val="72E176CB"/>
    <w:rsid w:val="734B14E2"/>
    <w:rsid w:val="74C21625"/>
    <w:rsid w:val="75267B11"/>
    <w:rsid w:val="765121C2"/>
    <w:rsid w:val="770E6AAE"/>
    <w:rsid w:val="771860A1"/>
    <w:rsid w:val="77265A45"/>
    <w:rsid w:val="77FB40F3"/>
    <w:rsid w:val="78581143"/>
    <w:rsid w:val="7A7E03EF"/>
    <w:rsid w:val="7AB4735A"/>
    <w:rsid w:val="7BE60E47"/>
    <w:rsid w:val="7C400B1D"/>
    <w:rsid w:val="7D472B43"/>
    <w:rsid w:val="7E2E195D"/>
    <w:rsid w:val="7F1559B0"/>
    <w:rsid w:val="7F2C0419"/>
    <w:rsid w:val="7F4A61E1"/>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autoRedefine/>
    <w:qFormat/>
    <w:uiPriority w:val="0"/>
    <w:rPr>
      <w:rFonts w:ascii="楷体_GB2312" w:hAnsi="Arial" w:eastAsia="楷体_GB2312"/>
      <w:kern w:val="0"/>
      <w:szCs w:val="20"/>
    </w:rPr>
  </w:style>
  <w:style w:type="paragraph" w:styleId="9">
    <w:name w:val="Body Text Indent"/>
    <w:basedOn w:val="1"/>
    <w:qFormat/>
    <w:uiPriority w:val="0"/>
    <w:pPr>
      <w:spacing w:line="360" w:lineRule="auto"/>
      <w:ind w:left="359" w:leftChars="171"/>
    </w:pPr>
    <w:rPr>
      <w:rFonts w:ascii="宋体"/>
    </w:rPr>
  </w:style>
  <w:style w:type="paragraph" w:styleId="10">
    <w:name w:val="Block Text"/>
    <w:basedOn w:val="1"/>
    <w:autoRedefine/>
    <w:unhideWhenUsed/>
    <w:qFormat/>
    <w:uiPriority w:val="99"/>
    <w:pPr>
      <w:spacing w:after="120"/>
      <w:ind w:left="1440" w:leftChars="700" w:right="1440" w:rightChars="700"/>
    </w:pPr>
  </w:style>
  <w:style w:type="paragraph" w:styleId="11">
    <w:name w:val="List Bullet 2"/>
    <w:basedOn w:val="1"/>
    <w:qFormat/>
    <w:uiPriority w:val="0"/>
    <w:pPr>
      <w:numPr>
        <w:ilvl w:val="0"/>
        <w:numId w:val="2"/>
      </w:numPr>
    </w:pPr>
  </w:style>
  <w:style w:type="paragraph" w:styleId="12">
    <w:name w:val="index 4"/>
    <w:basedOn w:val="1"/>
    <w:next w:val="1"/>
    <w:autoRedefine/>
    <w:unhideWhenUsed/>
    <w:qFormat/>
    <w:uiPriority w:val="99"/>
    <w:pPr>
      <w:ind w:left="600" w:leftChars="600"/>
    </w:pPr>
    <w:rPr>
      <w:rFonts w:ascii="Verdana" w:hAnsi="Verdana"/>
      <w:szCs w:val="20"/>
    </w:rPr>
  </w:style>
  <w:style w:type="paragraph" w:styleId="13">
    <w:name w:val="Plain Text"/>
    <w:basedOn w:val="1"/>
    <w:autoRedefine/>
    <w:qFormat/>
    <w:uiPriority w:val="0"/>
    <w:rPr>
      <w:rFonts w:ascii="宋体" w:hAnsi="Calibri" w:cs="Courier New"/>
      <w:szCs w:val="21"/>
    </w:r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semiHidden/>
    <w:qFormat/>
    <w:uiPriority w:val="0"/>
    <w:pPr>
      <w:ind w:left="420" w:leftChars="200"/>
    </w:pPr>
    <w:rPr>
      <w:szCs w:val="20"/>
    </w:rPr>
  </w:style>
  <w:style w:type="paragraph" w:styleId="17">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8">
    <w:name w:val="Body Text First Indent"/>
    <w:basedOn w:val="8"/>
    <w:autoRedefine/>
    <w:qFormat/>
    <w:uiPriority w:val="99"/>
    <w:pPr>
      <w:spacing w:line="360" w:lineRule="auto"/>
      <w:ind w:firstLine="420" w:firstLineChars="100"/>
    </w:pPr>
    <w:rPr>
      <w:rFonts w:ascii="Times New Roman" w:hAnsi="Times New Roman"/>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2">
    <w:name w:val="Hyperlink"/>
    <w:basedOn w:val="21"/>
    <w:autoRedefine/>
    <w:qFormat/>
    <w:uiPriority w:val="0"/>
    <w:rPr>
      <w:color w:val="0000FF"/>
      <w:u w:val="single"/>
    </w:rPr>
  </w:style>
  <w:style w:type="paragraph" w:customStyle="1" w:styleId="23">
    <w:name w:val="三级标题"/>
    <w:basedOn w:val="4"/>
    <w:next w:val="8"/>
    <w:qFormat/>
    <w:uiPriority w:val="0"/>
    <w:pPr>
      <w:tabs>
        <w:tab w:val="left" w:pos="1505"/>
      </w:tabs>
      <w:topLinePunct/>
      <w:spacing w:before="50" w:beforeLines="0" w:after="50" w:afterLines="0"/>
      <w:ind w:firstLine="200" w:firstLineChars="200"/>
    </w:pPr>
    <w:rPr>
      <w:rFonts w:ascii="Times New Roman" w:hAnsi="Times New Roman" w:cs="Times New Roman"/>
    </w:rPr>
  </w:style>
  <w:style w:type="paragraph" w:customStyle="1" w:styleId="24">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列表段落1"/>
    <w:basedOn w:val="1"/>
    <w:autoRedefine/>
    <w:qFormat/>
    <w:uiPriority w:val="34"/>
    <w:pPr>
      <w:ind w:firstLine="420"/>
    </w:pPr>
  </w:style>
  <w:style w:type="character" w:customStyle="1" w:styleId="26">
    <w:name w:val="font51"/>
    <w:basedOn w:val="21"/>
    <w:autoRedefine/>
    <w:qFormat/>
    <w:uiPriority w:val="0"/>
    <w:rPr>
      <w:rFonts w:hint="default" w:ascii="等线" w:hAnsi="等线" w:eastAsia="等线" w:cs="等线"/>
      <w:color w:val="000000"/>
      <w:sz w:val="22"/>
      <w:szCs w:val="22"/>
      <w:u w:val="none"/>
    </w:rPr>
  </w:style>
  <w:style w:type="paragraph" w:styleId="27">
    <w:name w:val="List Paragraph"/>
    <w:basedOn w:val="1"/>
    <w:autoRedefine/>
    <w:unhideWhenUsed/>
    <w:qFormat/>
    <w:uiPriority w:val="99"/>
    <w:pPr>
      <w:ind w:firstLine="42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正文1"/>
    <w:basedOn w:val="1"/>
    <w:autoRedefine/>
    <w:qFormat/>
    <w:uiPriority w:val="0"/>
    <w:pPr>
      <w:widowControl/>
      <w:spacing w:line="440" w:lineRule="exact"/>
      <w:ind w:right="-167" w:rightChars="-167"/>
    </w:pPr>
  </w:style>
  <w:style w:type="paragraph" w:customStyle="1" w:styleId="30">
    <w:name w:val="二级无"/>
    <w:basedOn w:val="31"/>
    <w:autoRedefine/>
    <w:qFormat/>
    <w:uiPriority w:val="0"/>
    <w:pPr>
      <w:spacing w:before="0" w:beforeLines="0" w:after="0" w:afterLines="0"/>
    </w:pPr>
    <w:rPr>
      <w:rFonts w:ascii="宋体" w:eastAsia="宋体"/>
    </w:rPr>
  </w:style>
  <w:style w:type="paragraph" w:customStyle="1" w:styleId="31">
    <w:name w:val="二级条标题"/>
    <w:basedOn w:val="32"/>
    <w:next w:val="33"/>
    <w:autoRedefine/>
    <w:qFormat/>
    <w:uiPriority w:val="0"/>
    <w:pPr>
      <w:numPr>
        <w:ilvl w:val="2"/>
      </w:numPr>
      <w:spacing w:before="50" w:after="50"/>
      <w:outlineLvl w:val="3"/>
    </w:pPr>
  </w:style>
  <w:style w:type="paragraph" w:customStyle="1" w:styleId="32">
    <w:name w:val="一级条标题"/>
    <w:next w:val="33"/>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4">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 w:type="paragraph" w:customStyle="1" w:styleId="36">
    <w:name w:val="纯文本1"/>
    <w:basedOn w:val="1"/>
    <w:qFormat/>
    <w:uiPriority w:val="0"/>
    <w:pPr>
      <w:adjustRightInd w:val="0"/>
      <w:textAlignment w:val="baseline"/>
    </w:pPr>
    <w:rPr>
      <w:rFonts w:ascii="宋体" w:hAnsi="Courier New" w:eastAsia="宋体" w:cs="Times New Roman"/>
    </w:rPr>
  </w:style>
  <w:style w:type="character" w:customStyle="1" w:styleId="37">
    <w:name w:val="font1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5208</Words>
  <Characters>5665</Characters>
  <Lines>36</Lines>
  <Paragraphs>10</Paragraphs>
  <TotalTime>7</TotalTime>
  <ScaleCrop>false</ScaleCrop>
  <LinksUpToDate>false</LinksUpToDate>
  <CharactersWithSpaces>6153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2025-07-17T01:38:00Z</cp:lastPrinted>
  <dcterms:modified xsi:type="dcterms:W3CDTF">2025-09-22T07:07:52Z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6B41A3E011224B9DBA5D62E3EE2F6221_13</vt:lpwstr>
  </property>
  <property fmtid="{D5CDD505-2E9C-101B-9397-08002B2CF9AE}" pid="4" name="KSOTemplateDocerSaveRecord">
    <vt:lpwstr>eyJoZGlkIjoiM2IwNDkxZDYwNzBmMTgyYjg5NjQzNjgwZTU2OTk2ZGEiLCJ1c2VySWQiOiIyODAwNDgzNjEifQ==</vt:lpwstr>
  </property>
</Properties>
</file>